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header1.xml" ContentType="application/vnd.openxmlformats-officedocument.wordprocessingml.header+xml"/>
  <Override PartName="/word/header2.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7CEE58B4">
      <w:pPr>
        <w:keepNext/>
        <w:keepLines/>
        <w:spacing w:before="260" w:after="260" w:line="416" w:lineRule="atLeast"/>
        <w:jc w:val="center"/>
        <w:outlineLvl w:val="1"/>
        <w:rPr>
          <w:rFonts w:hint="eastAsia" w:ascii="Times New Roman" w:hAnsi="Times New Roman" w:eastAsia="宋体"/>
          <w:b/>
          <w:bCs/>
          <w:sz w:val="28"/>
          <w:szCs w:val="28"/>
          <w:lang w:eastAsia="zh-CN"/>
        </w:rPr>
      </w:pPr>
    </w:p>
    <w:p w14:paraId="66A5D880">
      <w:pPr>
        <w:keepNext/>
        <w:keepLines/>
        <w:spacing w:before="260" w:after="260" w:line="416" w:lineRule="atLeast"/>
        <w:jc w:val="center"/>
        <w:outlineLvl w:val="1"/>
        <w:rPr>
          <w:rFonts w:hint="eastAsia" w:ascii="Times New Roman" w:hAnsi="Times New Roman" w:eastAsia="宋体"/>
          <w:b/>
          <w:bCs/>
          <w:sz w:val="28"/>
          <w:szCs w:val="28"/>
          <w:lang w:eastAsia="zh-CN"/>
        </w:rPr>
      </w:pPr>
    </w:p>
    <w:p w14:paraId="5E2FE68B">
      <w:pPr>
        <w:keepNext/>
        <w:keepLines/>
        <w:spacing w:before="260" w:after="260" w:line="416" w:lineRule="atLeast"/>
        <w:jc w:val="center"/>
        <w:outlineLvl w:val="1"/>
        <w:rPr>
          <w:rFonts w:hint="eastAsia" w:ascii="Times New Roman" w:hAnsi="Times New Roman" w:eastAsia="宋体"/>
          <w:b/>
          <w:bCs/>
          <w:sz w:val="28"/>
          <w:szCs w:val="28"/>
          <w:lang w:eastAsia="zh-CN"/>
        </w:rPr>
      </w:pPr>
      <w:r>
        <w:rPr>
          <w:rFonts w:hint="eastAsia" w:ascii="Times New Roman" w:hAnsi="Times New Roman" w:eastAsia="宋体"/>
          <w:b/>
          <w:bCs/>
          <w:sz w:val="28"/>
          <w:szCs w:val="28"/>
          <w:lang w:eastAsia="zh-CN"/>
        </w:rPr>
        <w:drawing>
          <wp:inline distT="0" distB="0" distL="114300" distR="114300">
            <wp:extent cx="7068820" cy="661035"/>
            <wp:effectExtent l="0" t="0" r="0" b="0"/>
            <wp:docPr id="5" name="图片 5" descr="十四五国规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十四五国规标"/>
                    <pic:cNvPicPr>
                      <a:picLocks noChangeAspect="1"/>
                    </pic:cNvPicPr>
                  </pic:nvPicPr>
                  <pic:blipFill>
                    <a:blip r:embed="rId6"/>
                    <a:srcRect t="46761" b="46627"/>
                    <a:stretch>
                      <a:fillRect/>
                    </a:stretch>
                  </pic:blipFill>
                  <pic:spPr>
                    <a:xfrm>
                      <a:off x="0" y="0"/>
                      <a:ext cx="7068820" cy="661035"/>
                    </a:xfrm>
                    <a:prstGeom prst="rect">
                      <a:avLst/>
                    </a:prstGeom>
                  </pic:spPr>
                </pic:pic>
              </a:graphicData>
            </a:graphic>
          </wp:inline>
        </w:drawing>
      </w:r>
    </w:p>
    <w:p w14:paraId="21545871">
      <w:pPr>
        <w:keepNext/>
        <w:keepLines/>
        <w:spacing w:before="260" w:after="260" w:line="240" w:lineRule="auto"/>
        <w:jc w:val="both"/>
        <w:outlineLvl w:val="1"/>
        <w:rPr>
          <w:rFonts w:hint="eastAsia" w:ascii="Times New Roman" w:hAnsi="Times New Roman"/>
          <w:b/>
          <w:bCs/>
          <w:sz w:val="30"/>
          <w:szCs w:val="30"/>
          <w:lang w:val="en-US" w:eastAsia="zh-CN"/>
        </w:rPr>
      </w:pPr>
    </w:p>
    <w:p w14:paraId="26881B23">
      <w:pPr>
        <w:keepNext/>
        <w:keepLines/>
        <w:spacing w:before="260" w:after="260" w:line="240" w:lineRule="auto"/>
        <w:jc w:val="both"/>
        <w:outlineLvl w:val="1"/>
        <w:rPr>
          <w:rFonts w:hint="eastAsia" w:ascii="Times New Roman" w:hAnsi="Times New Roman"/>
          <w:b/>
          <w:bCs/>
          <w:sz w:val="30"/>
          <w:szCs w:val="30"/>
          <w:lang w:val="en-US" w:eastAsia="zh-CN"/>
        </w:rPr>
      </w:pPr>
    </w:p>
    <w:p w14:paraId="5E81C5F3">
      <w:pPr>
        <w:keepNext/>
        <w:keepLines/>
        <w:spacing w:before="260" w:after="260" w:line="240" w:lineRule="auto"/>
        <w:jc w:val="center"/>
        <w:outlineLvl w:val="1"/>
        <w:rPr>
          <w:rFonts w:hint="eastAsia" w:ascii="Times New Roman" w:hAnsi="Times New Roman"/>
          <w:b/>
          <w:bCs/>
          <w:sz w:val="52"/>
          <w:szCs w:val="52"/>
        </w:rPr>
      </w:pPr>
      <w:r>
        <w:rPr>
          <w:rFonts w:hint="eastAsia" w:ascii="汉仪菱心体简" w:hAnsi="汉仪菱心体简" w:eastAsia="汉仪菱心体简" w:cs="汉仪菱心体简"/>
          <w:i w:val="0"/>
          <w:caps w:val="0"/>
          <w:color w:val="6787B2"/>
          <w:spacing w:val="0"/>
          <w:sz w:val="84"/>
          <w:szCs w:val="84"/>
          <w:shd w:val="clear" w:fill="FFFFFF"/>
          <w:lang w:val="en-US" w:eastAsia="zh-CN"/>
        </w:rPr>
        <w:t>教案</w:t>
      </w:r>
    </w:p>
    <w:p w14:paraId="412EDB9B">
      <w:pPr>
        <w:keepNext/>
        <w:keepLines/>
        <w:spacing w:before="260" w:after="260" w:line="240" w:lineRule="auto"/>
        <w:jc w:val="center"/>
        <w:outlineLvl w:val="1"/>
        <w:rPr>
          <w:rFonts w:hint="eastAsia" w:ascii="思源宋体 CN Heavy" w:hAnsi="思源宋体 CN Heavy" w:eastAsia="思源宋体 CN Heavy" w:cs="思源宋体 CN Heavy"/>
          <w:b/>
          <w:bCs/>
          <w:color w:val="6787B2"/>
          <w:sz w:val="112"/>
          <w:szCs w:val="112"/>
        </w:rPr>
      </w:pPr>
      <w:r>
        <w:rPr>
          <w:rFonts w:hint="eastAsia" w:ascii="思源宋体 CN Heavy" w:hAnsi="思源宋体 CN Heavy" w:eastAsia="思源宋体 CN Heavy" w:cs="思源宋体 CN Heavy"/>
          <w:b/>
          <w:bCs/>
          <w:color w:val="6787B2"/>
          <w:sz w:val="112"/>
          <w:szCs w:val="112"/>
        </w:rPr>
        <w:t>急救护理技术</w:t>
      </w:r>
    </w:p>
    <w:p w14:paraId="1DE0F138">
      <w:pPr>
        <w:keepNext/>
        <w:keepLines/>
        <w:spacing w:before="260" w:after="260" w:line="240" w:lineRule="auto"/>
        <w:jc w:val="center"/>
        <w:outlineLvl w:val="1"/>
        <w:rPr>
          <w:rFonts w:hint="default" w:ascii="Times New Roman" w:hAnsi="Times New Roman" w:eastAsia="宋体"/>
          <w:b/>
          <w:bCs/>
          <w:color w:val="2E75B6" w:themeColor="accent1" w:themeShade="BF"/>
          <w:sz w:val="52"/>
          <w:szCs w:val="52"/>
          <w:lang w:val="en-US" w:eastAsia="zh-CN"/>
        </w:rPr>
      </w:pPr>
      <w:r>
        <w:rPr>
          <w:rFonts w:hint="eastAsia" w:ascii="Times New Roman" w:hAnsi="Times New Roman"/>
          <w:b/>
          <w:bCs/>
          <w:color w:val="2E75B6" w:themeColor="accent1" w:themeShade="BF"/>
          <w:sz w:val="52"/>
          <w:szCs w:val="52"/>
          <w:lang w:eastAsia="zh-CN"/>
        </w:rPr>
        <w:t>（</w:t>
      </w:r>
      <w:r>
        <w:rPr>
          <w:rFonts w:hint="eastAsia" w:ascii="Times New Roman" w:hAnsi="Times New Roman"/>
          <w:b/>
          <w:bCs/>
          <w:color w:val="2E75B6" w:themeColor="accent1" w:themeShade="BF"/>
          <w:sz w:val="52"/>
          <w:szCs w:val="52"/>
          <w:lang w:val="en-US" w:eastAsia="zh-CN"/>
        </w:rPr>
        <w:t>第二版）</w:t>
      </w:r>
    </w:p>
    <w:p w14:paraId="7F875E9A">
      <w:pPr>
        <w:keepNext/>
        <w:keepLines/>
        <w:spacing w:before="260" w:after="260" w:line="240" w:lineRule="auto"/>
        <w:jc w:val="center"/>
        <w:outlineLvl w:val="1"/>
        <w:rPr>
          <w:rFonts w:hint="eastAsia" w:ascii="Times New Roman" w:hAnsi="Times New Roman"/>
          <w:b/>
          <w:bCs/>
          <w:sz w:val="28"/>
          <w:szCs w:val="28"/>
        </w:rPr>
      </w:pPr>
    </w:p>
    <w:p w14:paraId="25768923">
      <w:pPr>
        <w:keepNext/>
        <w:keepLines/>
        <w:spacing w:before="260" w:after="260" w:line="240" w:lineRule="auto"/>
        <w:jc w:val="center"/>
        <w:outlineLvl w:val="1"/>
        <w:rPr>
          <w:rFonts w:hint="eastAsia" w:ascii="Times New Roman" w:hAnsi="Times New Roman"/>
          <w:b/>
          <w:bCs/>
          <w:sz w:val="28"/>
          <w:szCs w:val="28"/>
        </w:rPr>
      </w:pPr>
    </w:p>
    <w:p w14:paraId="00F1166D">
      <w:pPr>
        <w:keepNext/>
        <w:keepLines/>
        <w:spacing w:before="260" w:after="260" w:line="240" w:lineRule="auto"/>
        <w:jc w:val="both"/>
        <w:outlineLvl w:val="1"/>
        <w:rPr>
          <w:rFonts w:hint="eastAsia" w:ascii="Times New Roman" w:hAnsi="Times New Roman"/>
          <w:b/>
          <w:bCs/>
          <w:sz w:val="28"/>
          <w:szCs w:val="28"/>
        </w:rPr>
      </w:pPr>
    </w:p>
    <w:p w14:paraId="3D194E08">
      <w:pPr>
        <w:keepNext/>
        <w:keepLines/>
        <w:spacing w:before="260" w:after="260" w:line="240" w:lineRule="auto"/>
        <w:jc w:val="both"/>
        <w:outlineLvl w:val="1"/>
        <w:rPr>
          <w:rFonts w:hint="eastAsia" w:ascii="Times New Roman" w:hAnsi="Times New Roman"/>
          <w:b/>
          <w:bCs/>
          <w:sz w:val="28"/>
          <w:szCs w:val="28"/>
        </w:rPr>
      </w:pPr>
    </w:p>
    <w:p w14:paraId="17BE5798">
      <w:pPr>
        <w:keepNext/>
        <w:keepLines/>
        <w:spacing w:before="260" w:after="260" w:line="240" w:lineRule="auto"/>
        <w:jc w:val="center"/>
        <w:outlineLvl w:val="1"/>
        <w:rPr>
          <w:rFonts w:hint="eastAsia" w:ascii="Times New Roman" w:hAnsi="Times New Roman"/>
          <w:b/>
          <w:bCs/>
          <w:sz w:val="28"/>
          <w:szCs w:val="28"/>
        </w:rPr>
      </w:pPr>
      <w:r>
        <w:rPr>
          <w:rFonts w:hint="eastAsia" w:ascii="Times New Roman" w:hAnsi="Times New Roman"/>
          <w:b/>
          <w:bCs/>
          <w:color w:val="8FAADC" w:themeColor="accent5" w:themeTint="99"/>
          <w:sz w:val="28"/>
          <w:szCs w:val="28"/>
          <w:lang w:val="en-US" w:eastAsia="zh-CN"/>
          <w14:textFill>
            <w14:solidFill>
              <w14:schemeClr w14:val="accent5">
                <w14:lumMod w14:val="60000"/>
                <w14:lumOff w14:val="40000"/>
              </w14:schemeClr>
            </w14:solidFill>
          </w14:textFill>
        </w:rPr>
        <w:t>北京出版社</w:t>
      </w:r>
    </w:p>
    <w:p w14:paraId="4CE1FFFF">
      <w:pPr>
        <w:keepNext/>
        <w:keepLines/>
        <w:spacing w:before="260" w:after="260" w:line="240" w:lineRule="auto"/>
        <w:jc w:val="both"/>
        <w:outlineLvl w:val="1"/>
        <w:rPr>
          <w:rFonts w:hint="eastAsia" w:ascii="Times New Roman" w:hAnsi="Times New Roman"/>
          <w:b/>
          <w:bCs/>
          <w:sz w:val="28"/>
          <w:szCs w:val="28"/>
        </w:rPr>
        <w:sectPr>
          <w:headerReference r:id="rId4" w:type="first"/>
          <w:headerReference r:id="rId3" w:type="default"/>
          <w:pgSz w:w="11906" w:h="16838"/>
          <w:pgMar w:top="0" w:right="170" w:bottom="0" w:left="170" w:header="567" w:footer="850" w:gutter="0"/>
          <w:pgBorders>
            <w:top w:val="none" w:sz="0" w:space="0"/>
            <w:left w:val="none" w:sz="0" w:space="0"/>
            <w:bottom w:val="none" w:sz="0" w:space="0"/>
            <w:right w:val="none" w:sz="0" w:space="0"/>
          </w:pgBorders>
          <w:cols w:space="425" w:num="1"/>
          <w:titlePg/>
          <w:docGrid w:type="lines" w:linePitch="312" w:charSpace="0"/>
        </w:sectPr>
      </w:pPr>
    </w:p>
    <w:p w14:paraId="45BEE8F2">
      <w:pPr>
        <w:pStyle w:val="3"/>
        <w:bidi w:val="0"/>
        <w:jc w:val="center"/>
        <w:rPr>
          <w:rFonts w:hint="eastAsia"/>
          <w:sz w:val="52"/>
          <w:szCs w:val="52"/>
          <w:lang w:eastAsia="zh-CN"/>
        </w:rPr>
      </w:pPr>
      <w:r>
        <w:rPr>
          <w:rFonts w:hint="eastAsia"/>
          <w:sz w:val="52"/>
          <w:szCs w:val="52"/>
          <w:lang w:eastAsia="zh-CN"/>
        </w:rPr>
        <w:t>课时分配表</w:t>
      </w:r>
    </w:p>
    <w:tbl>
      <w:tblPr>
        <w:tblStyle w:val="11"/>
        <w:tblW w:w="10205" w:type="dxa"/>
        <w:jc w:val="center"/>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Layout w:type="autofit"/>
        <w:tblCellMar>
          <w:top w:w="0" w:type="dxa"/>
          <w:left w:w="108" w:type="dxa"/>
          <w:bottom w:w="0" w:type="dxa"/>
          <w:right w:w="108" w:type="dxa"/>
        </w:tblCellMar>
      </w:tblPr>
      <w:tblGrid>
        <w:gridCol w:w="1176"/>
        <w:gridCol w:w="5269"/>
        <w:gridCol w:w="1735"/>
        <w:gridCol w:w="2025"/>
      </w:tblGrid>
      <w:tr w14:paraId="78EF2C47">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930" w:type="dxa"/>
            <w:tcBorders>
              <w:tl2br w:val="nil"/>
              <w:tr2bl w:val="nil"/>
            </w:tcBorders>
            <w:shd w:val="clear" w:color="auto" w:fill="00B0F0"/>
            <w:vAlign w:val="center"/>
          </w:tcPr>
          <w:p w14:paraId="1E225C17">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480" w:lineRule="auto"/>
              <w:ind w:left="0" w:right="0"/>
              <w:jc w:val="center"/>
              <w:textAlignment w:val="auto"/>
              <w:outlineLvl w:val="1"/>
              <w:rPr>
                <w:rFonts w:hint="eastAsia" w:ascii="宋体" w:hAnsi="宋体" w:eastAsia="宋体" w:cs="宋体"/>
                <w:b/>
                <w:bCs/>
                <w:color w:val="FFFFFF"/>
                <w:sz w:val="24"/>
                <w:szCs w:val="24"/>
                <w:vertAlign w:val="baseline"/>
                <w:lang w:eastAsia="zh-CN"/>
              </w:rPr>
            </w:pPr>
            <w:r>
              <w:rPr>
                <w:rFonts w:hint="eastAsia" w:ascii="宋体" w:hAnsi="宋体" w:cs="宋体"/>
                <w:b/>
                <w:bCs/>
                <w:color w:val="FFFFFF"/>
                <w:sz w:val="24"/>
                <w:szCs w:val="24"/>
                <w:vertAlign w:val="baseline"/>
                <w:lang w:eastAsia="zh-CN"/>
              </w:rPr>
              <w:t>章序</w:t>
            </w:r>
          </w:p>
        </w:tc>
        <w:tc>
          <w:tcPr>
            <w:tcW w:w="4166" w:type="dxa"/>
            <w:tcBorders>
              <w:tl2br w:val="nil"/>
              <w:tr2bl w:val="nil"/>
            </w:tcBorders>
            <w:shd w:val="clear" w:color="auto" w:fill="00B0F0"/>
            <w:vAlign w:val="center"/>
          </w:tcPr>
          <w:p w14:paraId="25F082CE">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480" w:lineRule="auto"/>
              <w:ind w:left="0" w:right="0"/>
              <w:jc w:val="center"/>
              <w:textAlignment w:val="auto"/>
              <w:outlineLvl w:val="1"/>
              <w:rPr>
                <w:rFonts w:hint="eastAsia" w:ascii="宋体" w:hAnsi="宋体" w:eastAsia="宋体" w:cs="宋体"/>
                <w:b/>
                <w:bCs/>
                <w:color w:val="FFFFFF"/>
                <w:sz w:val="24"/>
                <w:szCs w:val="24"/>
                <w:vertAlign w:val="baseline"/>
                <w:lang w:eastAsia="zh-CN"/>
              </w:rPr>
            </w:pPr>
            <w:r>
              <w:rPr>
                <w:rFonts w:hint="eastAsia" w:ascii="宋体" w:hAnsi="宋体" w:cs="宋体"/>
                <w:b/>
                <w:bCs/>
                <w:color w:val="FFFFFF"/>
                <w:sz w:val="24"/>
                <w:szCs w:val="24"/>
                <w:vertAlign w:val="baseline"/>
                <w:lang w:eastAsia="zh-CN"/>
              </w:rPr>
              <w:t>课程内容</w:t>
            </w:r>
          </w:p>
        </w:tc>
        <w:tc>
          <w:tcPr>
            <w:tcW w:w="1372" w:type="dxa"/>
            <w:tcBorders>
              <w:tl2br w:val="nil"/>
              <w:tr2bl w:val="nil"/>
            </w:tcBorders>
            <w:shd w:val="clear" w:color="auto" w:fill="00B0F0"/>
            <w:vAlign w:val="center"/>
          </w:tcPr>
          <w:p w14:paraId="24A4E4C7">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480" w:lineRule="auto"/>
              <w:ind w:left="0" w:right="0"/>
              <w:jc w:val="center"/>
              <w:textAlignment w:val="auto"/>
              <w:outlineLvl w:val="1"/>
              <w:rPr>
                <w:rFonts w:hint="eastAsia" w:ascii="宋体" w:hAnsi="宋体" w:eastAsia="宋体" w:cs="宋体"/>
                <w:b/>
                <w:bCs/>
                <w:color w:val="FFFFFF"/>
                <w:sz w:val="24"/>
                <w:szCs w:val="24"/>
                <w:vertAlign w:val="baseline"/>
                <w:lang w:eastAsia="zh-CN"/>
              </w:rPr>
            </w:pPr>
            <w:r>
              <w:rPr>
                <w:rFonts w:hint="eastAsia" w:ascii="宋体" w:hAnsi="宋体" w:cs="宋体"/>
                <w:b/>
                <w:bCs/>
                <w:color w:val="FFFFFF"/>
                <w:sz w:val="24"/>
                <w:szCs w:val="24"/>
                <w:vertAlign w:val="baseline"/>
                <w:lang w:eastAsia="zh-CN"/>
              </w:rPr>
              <w:t>课时</w:t>
            </w:r>
          </w:p>
        </w:tc>
        <w:tc>
          <w:tcPr>
            <w:tcW w:w="1600" w:type="dxa"/>
            <w:tcBorders>
              <w:tl2br w:val="nil"/>
              <w:tr2bl w:val="nil"/>
            </w:tcBorders>
            <w:shd w:val="clear" w:color="auto" w:fill="00B0F0"/>
            <w:vAlign w:val="center"/>
          </w:tcPr>
          <w:p w14:paraId="23577174">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480" w:lineRule="auto"/>
              <w:ind w:left="0" w:right="0"/>
              <w:jc w:val="center"/>
              <w:textAlignment w:val="auto"/>
              <w:outlineLvl w:val="1"/>
              <w:rPr>
                <w:rFonts w:hint="eastAsia" w:ascii="宋体" w:hAnsi="宋体" w:eastAsia="宋体" w:cs="宋体"/>
                <w:b/>
                <w:bCs/>
                <w:color w:val="FFFFFF"/>
                <w:sz w:val="24"/>
                <w:szCs w:val="24"/>
                <w:vertAlign w:val="baseline"/>
                <w:lang w:eastAsia="zh-CN"/>
              </w:rPr>
            </w:pPr>
            <w:r>
              <w:rPr>
                <w:rFonts w:hint="eastAsia" w:ascii="宋体" w:hAnsi="宋体" w:cs="宋体"/>
                <w:b/>
                <w:bCs/>
                <w:color w:val="FFFFFF"/>
                <w:sz w:val="24"/>
                <w:szCs w:val="24"/>
                <w:vertAlign w:val="baseline"/>
                <w:lang w:eastAsia="zh-CN"/>
              </w:rPr>
              <w:t>备注</w:t>
            </w:r>
          </w:p>
        </w:tc>
      </w:tr>
      <w:tr w14:paraId="78CA2A9E">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930" w:type="dxa"/>
            <w:tcBorders>
              <w:tl2br w:val="nil"/>
              <w:tr2bl w:val="nil"/>
            </w:tcBorders>
            <w:shd w:val="clear" w:color="auto" w:fill="FFFFFF"/>
            <w:vAlign w:val="center"/>
          </w:tcPr>
          <w:p w14:paraId="4A50F936">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1</w:t>
            </w:r>
          </w:p>
        </w:tc>
        <w:tc>
          <w:tcPr>
            <w:tcW w:w="4166" w:type="dxa"/>
            <w:tcBorders>
              <w:tl2br w:val="nil"/>
              <w:tr2bl w:val="nil"/>
            </w:tcBorders>
            <w:shd w:val="clear" w:color="auto" w:fill="FFFFFF"/>
            <w:vAlign w:val="center"/>
          </w:tcPr>
          <w:p w14:paraId="4C9AFE75">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cs="宋体"/>
                <w:b/>
                <w:bCs/>
                <w:color w:val="000000" w:themeColor="text1"/>
                <w:sz w:val="24"/>
                <w:szCs w:val="24"/>
                <w:vertAlign w:val="baseline"/>
                <w:lang w:eastAsia="zh-CN"/>
                <w14:textFill>
                  <w14:solidFill>
                    <w14:schemeClr w14:val="tx1"/>
                  </w14:solidFill>
                </w14:textFill>
              </w:rPr>
              <w:t>绪论</w:t>
            </w:r>
          </w:p>
        </w:tc>
        <w:tc>
          <w:tcPr>
            <w:tcW w:w="1372" w:type="dxa"/>
            <w:tcBorders>
              <w:tl2br w:val="nil"/>
              <w:tr2bl w:val="nil"/>
            </w:tcBorders>
            <w:shd w:val="clear" w:color="auto" w:fill="FFFFFF"/>
            <w:vAlign w:val="center"/>
          </w:tcPr>
          <w:p w14:paraId="6A709D9E">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4</w:t>
            </w:r>
          </w:p>
        </w:tc>
        <w:tc>
          <w:tcPr>
            <w:tcW w:w="1600" w:type="dxa"/>
            <w:tcBorders>
              <w:tl2br w:val="nil"/>
              <w:tr2bl w:val="nil"/>
            </w:tcBorders>
            <w:shd w:val="clear" w:color="auto" w:fill="FFFFFF"/>
            <w:vAlign w:val="center"/>
          </w:tcPr>
          <w:p w14:paraId="6AD0D185">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2CA6F9BC">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930" w:type="dxa"/>
            <w:tcBorders>
              <w:tl2br w:val="nil"/>
              <w:tr2bl w:val="nil"/>
            </w:tcBorders>
            <w:shd w:val="clear" w:color="auto" w:fill="FFFFFF"/>
            <w:vAlign w:val="center"/>
          </w:tcPr>
          <w:p w14:paraId="6274E04F">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2</w:t>
            </w:r>
          </w:p>
        </w:tc>
        <w:tc>
          <w:tcPr>
            <w:tcW w:w="4166" w:type="dxa"/>
            <w:tcBorders>
              <w:tl2br w:val="nil"/>
              <w:tr2bl w:val="nil"/>
            </w:tcBorders>
            <w:shd w:val="clear" w:color="auto" w:fill="FFFFFF"/>
            <w:vAlign w:val="center"/>
          </w:tcPr>
          <w:p w14:paraId="14BF6B9B">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院外急救护理</w:t>
            </w:r>
          </w:p>
        </w:tc>
        <w:tc>
          <w:tcPr>
            <w:tcW w:w="1372" w:type="dxa"/>
            <w:tcBorders>
              <w:tl2br w:val="nil"/>
              <w:tr2bl w:val="nil"/>
            </w:tcBorders>
            <w:shd w:val="clear" w:color="auto" w:fill="FFFFFF"/>
            <w:vAlign w:val="center"/>
          </w:tcPr>
          <w:p w14:paraId="6260A846">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3</w:t>
            </w:r>
          </w:p>
        </w:tc>
        <w:tc>
          <w:tcPr>
            <w:tcW w:w="1600" w:type="dxa"/>
            <w:tcBorders>
              <w:tl2br w:val="nil"/>
              <w:tr2bl w:val="nil"/>
            </w:tcBorders>
            <w:shd w:val="clear" w:color="auto" w:fill="FFFFFF"/>
            <w:vAlign w:val="center"/>
          </w:tcPr>
          <w:p w14:paraId="409D8007">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3F6211E5">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930" w:type="dxa"/>
            <w:tcBorders>
              <w:tl2br w:val="nil"/>
              <w:tr2bl w:val="nil"/>
            </w:tcBorders>
            <w:shd w:val="clear" w:color="auto" w:fill="FFFFFF"/>
            <w:vAlign w:val="center"/>
          </w:tcPr>
          <w:p w14:paraId="0B1E498D">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3</w:t>
            </w:r>
          </w:p>
        </w:tc>
        <w:tc>
          <w:tcPr>
            <w:tcW w:w="4166" w:type="dxa"/>
            <w:tcBorders>
              <w:tl2br w:val="nil"/>
              <w:tr2bl w:val="nil"/>
            </w:tcBorders>
            <w:shd w:val="clear" w:color="auto" w:fill="FFFFFF"/>
            <w:vAlign w:val="center"/>
          </w:tcPr>
          <w:p w14:paraId="13A17C84">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医院急诊科管理</w:t>
            </w:r>
          </w:p>
        </w:tc>
        <w:tc>
          <w:tcPr>
            <w:tcW w:w="1372" w:type="dxa"/>
            <w:tcBorders>
              <w:tl2br w:val="nil"/>
              <w:tr2bl w:val="nil"/>
            </w:tcBorders>
            <w:shd w:val="clear" w:color="auto" w:fill="FFFFFF"/>
            <w:vAlign w:val="center"/>
          </w:tcPr>
          <w:p w14:paraId="539AB3C7">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4</w:t>
            </w:r>
          </w:p>
        </w:tc>
        <w:tc>
          <w:tcPr>
            <w:tcW w:w="1600" w:type="dxa"/>
            <w:tcBorders>
              <w:tl2br w:val="nil"/>
              <w:tr2bl w:val="nil"/>
            </w:tcBorders>
            <w:shd w:val="clear" w:color="auto" w:fill="FFFFFF"/>
            <w:vAlign w:val="center"/>
          </w:tcPr>
          <w:p w14:paraId="3DA5404B">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09042AB1">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930" w:type="dxa"/>
            <w:tcBorders>
              <w:tl2br w:val="nil"/>
              <w:tr2bl w:val="nil"/>
            </w:tcBorders>
            <w:shd w:val="clear" w:color="auto" w:fill="FFFFFF"/>
            <w:vAlign w:val="center"/>
          </w:tcPr>
          <w:p w14:paraId="7A8F0850">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4</w:t>
            </w:r>
          </w:p>
        </w:tc>
        <w:tc>
          <w:tcPr>
            <w:tcW w:w="4166" w:type="dxa"/>
            <w:tcBorders>
              <w:tl2br w:val="nil"/>
              <w:tr2bl w:val="nil"/>
            </w:tcBorders>
            <w:shd w:val="clear" w:color="auto" w:fill="FFFFFF"/>
            <w:vAlign w:val="center"/>
          </w:tcPr>
          <w:p w14:paraId="1B11DD88">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重症监护</w:t>
            </w:r>
          </w:p>
        </w:tc>
        <w:tc>
          <w:tcPr>
            <w:tcW w:w="1372" w:type="dxa"/>
            <w:tcBorders>
              <w:tl2br w:val="nil"/>
              <w:tr2bl w:val="nil"/>
            </w:tcBorders>
            <w:shd w:val="clear" w:color="auto" w:fill="FFFFFF"/>
            <w:vAlign w:val="center"/>
          </w:tcPr>
          <w:p w14:paraId="04ACE61B">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4</w:t>
            </w:r>
          </w:p>
        </w:tc>
        <w:tc>
          <w:tcPr>
            <w:tcW w:w="1600" w:type="dxa"/>
            <w:tcBorders>
              <w:tl2br w:val="nil"/>
              <w:tr2bl w:val="nil"/>
            </w:tcBorders>
            <w:shd w:val="clear" w:color="auto" w:fill="FFFFFF"/>
            <w:vAlign w:val="center"/>
          </w:tcPr>
          <w:p w14:paraId="7F3619A8">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745D11D9">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930" w:type="dxa"/>
            <w:tcBorders>
              <w:tl2br w:val="nil"/>
              <w:tr2bl w:val="nil"/>
            </w:tcBorders>
            <w:shd w:val="clear" w:color="auto" w:fill="FFFFFF"/>
            <w:vAlign w:val="center"/>
          </w:tcPr>
          <w:p w14:paraId="142D9E65">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5</w:t>
            </w:r>
          </w:p>
        </w:tc>
        <w:tc>
          <w:tcPr>
            <w:tcW w:w="4166" w:type="dxa"/>
            <w:tcBorders>
              <w:tl2br w:val="nil"/>
              <w:tr2bl w:val="nil"/>
            </w:tcBorders>
            <w:shd w:val="clear" w:color="auto" w:fill="FFFFFF"/>
            <w:vAlign w:val="center"/>
          </w:tcPr>
          <w:p w14:paraId="107DAA43">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心肺脑复苏技术与护理</w:t>
            </w:r>
          </w:p>
        </w:tc>
        <w:tc>
          <w:tcPr>
            <w:tcW w:w="1372" w:type="dxa"/>
            <w:tcBorders>
              <w:tl2br w:val="nil"/>
              <w:tr2bl w:val="nil"/>
            </w:tcBorders>
            <w:shd w:val="clear" w:color="auto" w:fill="FFFFFF"/>
            <w:vAlign w:val="center"/>
          </w:tcPr>
          <w:p w14:paraId="32550FEF">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3</w:t>
            </w:r>
          </w:p>
        </w:tc>
        <w:tc>
          <w:tcPr>
            <w:tcW w:w="1600" w:type="dxa"/>
            <w:tcBorders>
              <w:tl2br w:val="nil"/>
              <w:tr2bl w:val="nil"/>
            </w:tcBorders>
            <w:shd w:val="clear" w:color="auto" w:fill="FFFFFF"/>
            <w:vAlign w:val="center"/>
          </w:tcPr>
          <w:p w14:paraId="1006B362">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42586016">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930" w:type="dxa"/>
            <w:tcBorders>
              <w:tl2br w:val="nil"/>
              <w:tr2bl w:val="nil"/>
            </w:tcBorders>
            <w:shd w:val="clear" w:color="auto" w:fill="FFFFFF"/>
            <w:vAlign w:val="center"/>
          </w:tcPr>
          <w:p w14:paraId="5DC72AF8">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6</w:t>
            </w:r>
          </w:p>
        </w:tc>
        <w:tc>
          <w:tcPr>
            <w:tcW w:w="4166" w:type="dxa"/>
            <w:tcBorders>
              <w:tl2br w:val="nil"/>
              <w:tr2bl w:val="nil"/>
            </w:tcBorders>
            <w:shd w:val="clear" w:color="auto" w:fill="FFFFFF"/>
            <w:vAlign w:val="center"/>
          </w:tcPr>
          <w:p w14:paraId="2D57CD6B">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理化因素所致疾病患者的急救与护理</w:t>
            </w:r>
          </w:p>
        </w:tc>
        <w:tc>
          <w:tcPr>
            <w:tcW w:w="1372" w:type="dxa"/>
            <w:tcBorders>
              <w:tl2br w:val="nil"/>
              <w:tr2bl w:val="nil"/>
            </w:tcBorders>
            <w:shd w:val="clear" w:color="auto" w:fill="FFFFFF"/>
            <w:vAlign w:val="center"/>
          </w:tcPr>
          <w:p w14:paraId="265833CA">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8</w:t>
            </w:r>
          </w:p>
        </w:tc>
        <w:tc>
          <w:tcPr>
            <w:tcW w:w="1600" w:type="dxa"/>
            <w:tcBorders>
              <w:tl2br w:val="nil"/>
              <w:tr2bl w:val="nil"/>
            </w:tcBorders>
            <w:shd w:val="clear" w:color="auto" w:fill="FFFFFF"/>
            <w:vAlign w:val="center"/>
          </w:tcPr>
          <w:p w14:paraId="6A0187F5">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0AC8BBA9">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930" w:type="dxa"/>
            <w:tcBorders>
              <w:tl2br w:val="nil"/>
              <w:tr2bl w:val="nil"/>
            </w:tcBorders>
            <w:shd w:val="clear" w:color="auto" w:fill="FFFFFF"/>
            <w:vAlign w:val="center"/>
          </w:tcPr>
          <w:p w14:paraId="50C9DA73">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7</w:t>
            </w:r>
          </w:p>
        </w:tc>
        <w:tc>
          <w:tcPr>
            <w:tcW w:w="4166" w:type="dxa"/>
            <w:tcBorders>
              <w:tl2br w:val="nil"/>
              <w:tr2bl w:val="nil"/>
            </w:tcBorders>
            <w:shd w:val="clear" w:color="auto" w:fill="FFFFFF"/>
            <w:vAlign w:val="center"/>
          </w:tcPr>
          <w:p w14:paraId="57DF3703">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常用救护技术及护理</w:t>
            </w:r>
          </w:p>
        </w:tc>
        <w:tc>
          <w:tcPr>
            <w:tcW w:w="1372" w:type="dxa"/>
            <w:tcBorders>
              <w:tl2br w:val="nil"/>
              <w:tr2bl w:val="nil"/>
            </w:tcBorders>
            <w:shd w:val="clear" w:color="auto" w:fill="FFFFFF"/>
            <w:vAlign w:val="center"/>
          </w:tcPr>
          <w:p w14:paraId="5A5A048F">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6</w:t>
            </w:r>
          </w:p>
        </w:tc>
        <w:tc>
          <w:tcPr>
            <w:tcW w:w="1600" w:type="dxa"/>
            <w:tcBorders>
              <w:tl2br w:val="nil"/>
              <w:tr2bl w:val="nil"/>
            </w:tcBorders>
            <w:shd w:val="clear" w:color="auto" w:fill="FFFFFF"/>
            <w:vAlign w:val="center"/>
          </w:tcPr>
          <w:p w14:paraId="115AA2C3">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2EC08352">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930" w:type="dxa"/>
            <w:tcBorders>
              <w:tl2br w:val="nil"/>
              <w:tr2bl w:val="nil"/>
            </w:tcBorders>
            <w:shd w:val="clear" w:color="auto" w:fill="FFFFFF"/>
            <w:vAlign w:val="center"/>
          </w:tcPr>
          <w:p w14:paraId="74D6BFE8">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总计</w:t>
            </w:r>
          </w:p>
        </w:tc>
        <w:tc>
          <w:tcPr>
            <w:tcW w:w="4166" w:type="dxa"/>
            <w:tcBorders>
              <w:tl2br w:val="nil"/>
              <w:tr2bl w:val="nil"/>
            </w:tcBorders>
            <w:shd w:val="clear" w:color="auto" w:fill="FFFFFF"/>
            <w:vAlign w:val="center"/>
          </w:tcPr>
          <w:p w14:paraId="7BB0B687">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c>
          <w:tcPr>
            <w:tcW w:w="1372" w:type="dxa"/>
            <w:tcBorders>
              <w:tl2br w:val="nil"/>
              <w:tr2bl w:val="nil"/>
            </w:tcBorders>
            <w:shd w:val="clear" w:color="auto" w:fill="FFFFFF"/>
            <w:vAlign w:val="center"/>
          </w:tcPr>
          <w:p w14:paraId="5D4092A2">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32</w:t>
            </w:r>
          </w:p>
        </w:tc>
        <w:tc>
          <w:tcPr>
            <w:tcW w:w="1600" w:type="dxa"/>
            <w:tcBorders>
              <w:tl2br w:val="nil"/>
              <w:tr2bl w:val="nil"/>
            </w:tcBorders>
            <w:shd w:val="clear" w:color="auto" w:fill="FFFFFF"/>
            <w:vAlign w:val="center"/>
          </w:tcPr>
          <w:p w14:paraId="3C1F6DC2">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bl>
    <w:p w14:paraId="178ED8A7">
      <w:pPr>
        <w:rPr>
          <w:rFonts w:hint="eastAsia" w:ascii="黑体" w:hAnsi="黑体" w:eastAsia="黑体" w:cs="黑体"/>
          <w:b/>
          <w:bCs/>
          <w:color w:val="000000" w:themeColor="text1"/>
          <w:sz w:val="44"/>
          <w:szCs w:val="44"/>
          <w:lang w:eastAsia="zh-CN"/>
          <w14:textFill>
            <w14:solidFill>
              <w14:schemeClr w14:val="tx1"/>
            </w14:solidFill>
          </w14:textFill>
        </w:rPr>
      </w:pPr>
    </w:p>
    <w:p w14:paraId="5F3F8945">
      <w:pPr>
        <w:rPr>
          <w:rFonts w:hint="eastAsia" w:ascii="微软简老宋" w:hAnsi="微软简老宋" w:eastAsia="微软简老宋" w:cs="微软简老宋"/>
          <w:b w:val="0"/>
          <w:bCs w:val="0"/>
          <w:color w:val="00B0F0"/>
          <w:sz w:val="32"/>
          <w:szCs w:val="32"/>
        </w:rPr>
      </w:pPr>
      <w:r>
        <w:rPr>
          <w:rFonts w:hint="eastAsia" w:ascii="微软简老宋" w:hAnsi="微软简老宋" w:eastAsia="微软简老宋" w:cs="微软简老宋"/>
          <w:b w:val="0"/>
          <w:bCs w:val="0"/>
          <w:color w:val="00B0F0"/>
          <w:sz w:val="32"/>
          <w:szCs w:val="32"/>
        </w:rPr>
        <w:br w:type="page"/>
      </w:r>
    </w:p>
    <w:p w14:paraId="7C01B318">
      <w:pPr>
        <w:pStyle w:val="3"/>
        <w:bidi w:val="0"/>
        <w:jc w:val="center"/>
        <w:rPr>
          <w:rFonts w:hint="eastAsia"/>
          <w:color w:val="6787B2"/>
          <w:lang w:eastAsia="zh-CN"/>
        </w:rPr>
      </w:pPr>
      <w:r>
        <w:rPr>
          <w:rFonts w:hint="eastAsia" w:ascii="Times New Roman" w:hAnsi="Times New Roman"/>
          <w:b/>
          <w:bCs/>
          <w:sz w:val="28"/>
          <w:szCs w:val="28"/>
        </w:rPr>
        <w:t>第</w:t>
      </w:r>
      <w:r>
        <w:rPr>
          <w:rFonts w:hint="eastAsia" w:ascii="Times New Roman" w:hAnsi="Times New Roman"/>
          <w:b/>
          <w:bCs/>
          <w:sz w:val="28"/>
          <w:szCs w:val="28"/>
          <w:lang w:val="en-US" w:eastAsia="zh-CN"/>
        </w:rPr>
        <w:t>2</w:t>
      </w:r>
      <w:r>
        <w:rPr>
          <w:rFonts w:hint="eastAsia" w:ascii="Times New Roman" w:hAnsi="Times New Roman"/>
          <w:b/>
          <w:bCs/>
          <w:sz w:val="28"/>
          <w:szCs w:val="28"/>
        </w:rPr>
        <w:t>课</w:t>
      </w:r>
      <w:r>
        <w:rPr>
          <w:rFonts w:hint="eastAsia" w:ascii="Times New Roman" w:hAnsi="Times New Roman"/>
          <w:b/>
          <w:bCs/>
          <w:sz w:val="28"/>
          <w:szCs w:val="28"/>
          <w:lang w:val="en-US" w:eastAsia="zh-CN"/>
        </w:rPr>
        <w:t xml:space="preserve">  </w:t>
      </w:r>
      <w:r>
        <w:rPr>
          <w:rFonts w:hint="eastAsia" w:ascii="Times New Roman" w:hAnsi="Times New Roman"/>
          <w:b/>
          <w:bCs/>
          <w:sz w:val="28"/>
          <w:szCs w:val="28"/>
          <w:lang w:eastAsia="zh-CN"/>
        </w:rPr>
        <w:t>院外急救护理</w:t>
      </w:r>
    </w:p>
    <w:tbl>
      <w:tblPr>
        <w:tblStyle w:val="10"/>
        <w:tblW w:w="10205" w:type="dxa"/>
        <w:jc w:val="center"/>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Layout w:type="fixed"/>
        <w:tblCellMar>
          <w:top w:w="0" w:type="dxa"/>
          <w:left w:w="108" w:type="dxa"/>
          <w:bottom w:w="0" w:type="dxa"/>
          <w:right w:w="108" w:type="dxa"/>
        </w:tblCellMar>
      </w:tblPr>
      <w:tblGrid>
        <w:gridCol w:w="1541"/>
        <w:gridCol w:w="7014"/>
        <w:gridCol w:w="1650"/>
      </w:tblGrid>
      <w:tr w14:paraId="237E5B36">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123BC863">
            <w:pPr>
              <w:keepNext w:val="0"/>
              <w:keepLines w:val="0"/>
              <w:suppressLineNumbers w:val="0"/>
              <w:spacing w:before="0" w:beforeAutospacing="0" w:after="0" w:afterAutospacing="0" w:line="264" w:lineRule="auto"/>
              <w:ind w:left="0" w:right="0" w:hanging="8"/>
              <w:jc w:val="center"/>
              <w:rPr>
                <w:rFonts w:hint="default" w:ascii="Times New Roman" w:hAnsi="Times New Roman"/>
                <w:b/>
                <w:szCs w:val="20"/>
              </w:rPr>
            </w:pPr>
            <w:bookmarkStart w:id="0" w:name="_GoBack" w:colFirst="1" w:colLast="2"/>
            <w:r>
              <w:rPr>
                <w:rFonts w:hint="default" w:ascii="Times New Roman" w:hAnsi="宋体"/>
                <w:b/>
                <w:szCs w:val="20"/>
              </w:rPr>
              <w:t>课</w:t>
            </w:r>
            <w:r>
              <w:rPr>
                <w:rFonts w:hint="eastAsia" w:ascii="Times New Roman" w:hAnsi="Times New Roman"/>
                <w:b/>
                <w:szCs w:val="20"/>
              </w:rPr>
              <w:t>题</w:t>
            </w:r>
          </w:p>
        </w:tc>
        <w:tc>
          <w:tcPr>
            <w:tcW w:w="7173" w:type="dxa"/>
            <w:gridSpan w:val="2"/>
            <w:tcBorders>
              <w:tl2br w:val="nil"/>
              <w:tr2bl w:val="nil"/>
            </w:tcBorders>
            <w:vAlign w:val="center"/>
          </w:tcPr>
          <w:p w14:paraId="043A045D">
            <w:pPr>
              <w:keepNext w:val="0"/>
              <w:keepLines w:val="0"/>
              <w:suppressLineNumbers w:val="0"/>
              <w:spacing w:before="0" w:beforeAutospacing="0" w:after="0" w:afterAutospacing="0" w:line="360" w:lineRule="auto"/>
              <w:ind w:left="0" w:right="0" w:hanging="8"/>
              <w:rPr>
                <w:rFonts w:hint="eastAsia" w:ascii="Times New Roman" w:hAnsi="Times New Roman" w:eastAsia="宋体"/>
                <w:szCs w:val="20"/>
                <w:lang w:eastAsia="zh-CN"/>
              </w:rPr>
            </w:pPr>
            <w:r>
              <w:rPr>
                <w:rFonts w:hint="eastAsia" w:ascii="Times New Roman" w:hAnsi="宋体"/>
                <w:szCs w:val="20"/>
                <w:lang w:eastAsia="zh-CN"/>
              </w:rPr>
              <w:t>院外急救护理</w:t>
            </w:r>
          </w:p>
        </w:tc>
      </w:tr>
      <w:tr w14:paraId="22745064">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1174D79B">
            <w:pPr>
              <w:keepNext w:val="0"/>
              <w:keepLines w:val="0"/>
              <w:suppressLineNumbers w:val="0"/>
              <w:spacing w:before="0" w:beforeAutospacing="0" w:after="0" w:afterAutospacing="0" w:line="264" w:lineRule="auto"/>
              <w:ind w:left="0" w:right="0" w:hanging="8"/>
              <w:jc w:val="center"/>
              <w:rPr>
                <w:rFonts w:hint="default" w:ascii="Times New Roman" w:hAnsi="Times New Roman"/>
                <w:b/>
                <w:szCs w:val="20"/>
              </w:rPr>
            </w:pPr>
            <w:r>
              <w:rPr>
                <w:rFonts w:hint="default" w:ascii="Times New Roman" w:hAnsi="宋体"/>
                <w:b/>
                <w:szCs w:val="20"/>
              </w:rPr>
              <w:t>课时</w:t>
            </w:r>
          </w:p>
        </w:tc>
        <w:tc>
          <w:tcPr>
            <w:tcW w:w="7173" w:type="dxa"/>
            <w:gridSpan w:val="2"/>
            <w:tcBorders>
              <w:tl2br w:val="nil"/>
              <w:tr2bl w:val="nil"/>
            </w:tcBorders>
            <w:vAlign w:val="center"/>
          </w:tcPr>
          <w:p w14:paraId="0735CA08">
            <w:pPr>
              <w:keepNext w:val="0"/>
              <w:keepLines w:val="0"/>
              <w:suppressLineNumbers w:val="0"/>
              <w:spacing w:before="0" w:beforeAutospacing="0" w:after="0" w:afterAutospacing="0" w:line="360" w:lineRule="auto"/>
              <w:ind w:left="0" w:right="0" w:hanging="8"/>
              <w:rPr>
                <w:rFonts w:hint="default" w:ascii="Times New Roman" w:hAnsi="Times New Roman"/>
                <w:szCs w:val="20"/>
              </w:rPr>
            </w:pPr>
            <w:r>
              <w:rPr>
                <w:rFonts w:hint="eastAsia" w:ascii="Times New Roman" w:hAnsi="Times New Roman"/>
                <w:szCs w:val="20"/>
                <w:lang w:val="en-US" w:eastAsia="zh-CN"/>
              </w:rPr>
              <w:t>3</w:t>
            </w:r>
            <w:r>
              <w:rPr>
                <w:rFonts w:hint="default" w:ascii="Times New Roman" w:hAnsi="宋体"/>
                <w:szCs w:val="20"/>
              </w:rPr>
              <w:t>课时</w:t>
            </w:r>
            <w:r>
              <w:rPr>
                <w:rFonts w:hint="eastAsia" w:ascii="Times New Roman" w:hAnsi="宋体"/>
                <w:szCs w:val="20"/>
              </w:rPr>
              <w:t>（</w:t>
            </w:r>
            <w:r>
              <w:rPr>
                <w:rFonts w:hint="eastAsia" w:ascii="Times New Roman" w:hAnsi="宋体"/>
                <w:szCs w:val="20"/>
                <w:lang w:val="en-US" w:eastAsia="zh-CN"/>
              </w:rPr>
              <w:t>135</w:t>
            </w:r>
            <w:r>
              <w:rPr>
                <w:rFonts w:hint="eastAsia" w:ascii="Times New Roman" w:hAnsi="宋体"/>
                <w:szCs w:val="20"/>
              </w:rPr>
              <w:t>min）。</w:t>
            </w:r>
          </w:p>
        </w:tc>
      </w:tr>
      <w:tr w14:paraId="64069388">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407FC01E">
            <w:pPr>
              <w:keepNext w:val="0"/>
              <w:keepLines w:val="0"/>
              <w:suppressLineNumbers w:val="0"/>
              <w:spacing w:before="0" w:beforeAutospacing="0" w:after="0" w:afterAutospacing="0" w:line="264" w:lineRule="auto"/>
              <w:ind w:left="0" w:right="0" w:hanging="8"/>
              <w:jc w:val="center"/>
              <w:rPr>
                <w:rFonts w:hint="default" w:ascii="Times New Roman" w:hAnsi="Times New Roman"/>
                <w:b/>
                <w:szCs w:val="20"/>
              </w:rPr>
            </w:pPr>
            <w:r>
              <w:rPr>
                <w:rFonts w:hint="default" w:ascii="Times New Roman" w:hAnsi="宋体"/>
                <w:b/>
                <w:szCs w:val="20"/>
              </w:rPr>
              <w:t>教学目标</w:t>
            </w:r>
          </w:p>
        </w:tc>
        <w:tc>
          <w:tcPr>
            <w:tcW w:w="7173" w:type="dxa"/>
            <w:gridSpan w:val="2"/>
            <w:tcBorders>
              <w:tl2br w:val="nil"/>
              <w:tr2bl w:val="nil"/>
            </w:tcBorders>
            <w:vAlign w:val="center"/>
          </w:tcPr>
          <w:p w14:paraId="583BE284">
            <w:pPr>
              <w:keepNext w:val="0"/>
              <w:keepLines w:val="0"/>
              <w:suppressLineNumbers w:val="0"/>
              <w:spacing w:before="0" w:beforeAutospacing="0" w:after="0" w:afterAutospacing="0" w:line="360" w:lineRule="auto"/>
              <w:ind w:left="0" w:right="0" w:hanging="8"/>
              <w:rPr>
                <w:rFonts w:hint="default"/>
                <w:b/>
              </w:rPr>
            </w:pPr>
            <w:r>
              <w:rPr>
                <w:rFonts w:hint="default" w:hAnsi="宋体"/>
                <w:b/>
              </w:rPr>
              <w:t>知识</w:t>
            </w:r>
            <w:r>
              <w:rPr>
                <w:rFonts w:hint="eastAsia" w:hAnsi="宋体"/>
                <w:b/>
              </w:rPr>
              <w:t>技能</w:t>
            </w:r>
            <w:r>
              <w:rPr>
                <w:rFonts w:hint="default" w:hAnsi="宋体"/>
                <w:b/>
              </w:rPr>
              <w:t>目标：</w:t>
            </w:r>
          </w:p>
          <w:p w14:paraId="26DC34AD">
            <w:pPr>
              <w:keepNext w:val="0"/>
              <w:keepLines w:val="0"/>
              <w:suppressLineNumbers w:val="0"/>
              <w:spacing w:before="0" w:beforeAutospacing="0" w:after="0" w:afterAutospacing="0" w:line="360" w:lineRule="auto"/>
              <w:ind w:left="0" w:right="0" w:hanging="8"/>
              <w:rPr>
                <w:rFonts w:hint="default" w:ascii="Times New Roman" w:hAnsi="宋体"/>
                <w:bCs/>
                <w:szCs w:val="20"/>
              </w:rPr>
            </w:pPr>
            <w:r>
              <w:rPr>
                <w:rFonts w:hint="default" w:ascii="Times New Roman" w:hAnsi="Times New Roman"/>
                <w:szCs w:val="20"/>
              </w:rPr>
              <w:t>1</w:t>
            </w:r>
            <w:r>
              <w:rPr>
                <w:rFonts w:hint="default" w:ascii="Times New Roman" w:hAnsi="宋体"/>
                <w:bCs/>
                <w:szCs w:val="20"/>
              </w:rPr>
              <w:t>．</w:t>
            </w:r>
            <w:r>
              <w:rPr>
                <w:rFonts w:hint="eastAsia" w:ascii="Times New Roman" w:hAnsi="宋体"/>
                <w:bCs/>
                <w:szCs w:val="20"/>
              </w:rPr>
              <w:t>了解院外急救的特点。</w:t>
            </w:r>
          </w:p>
          <w:p w14:paraId="5103B5D6">
            <w:pPr>
              <w:keepNext w:val="0"/>
              <w:keepLines w:val="0"/>
              <w:suppressLineNumbers w:val="0"/>
              <w:spacing w:before="0" w:beforeAutospacing="0" w:after="0" w:afterAutospacing="0" w:line="360" w:lineRule="auto"/>
              <w:ind w:left="0" w:right="0" w:hanging="8"/>
              <w:rPr>
                <w:rFonts w:hint="default" w:ascii="Times New Roman" w:hAnsi="宋体"/>
                <w:szCs w:val="20"/>
              </w:rPr>
            </w:pPr>
            <w:r>
              <w:rPr>
                <w:rFonts w:hint="default" w:ascii="Times New Roman" w:hAnsi="Times New Roman"/>
                <w:szCs w:val="20"/>
              </w:rPr>
              <w:t>2</w:t>
            </w:r>
            <w:r>
              <w:rPr>
                <w:rFonts w:hint="default" w:ascii="Times New Roman" w:hAnsi="宋体"/>
                <w:bCs/>
                <w:szCs w:val="20"/>
              </w:rPr>
              <w:t>．</w:t>
            </w:r>
            <w:r>
              <w:rPr>
                <w:rFonts w:hint="eastAsia" w:ascii="Times New Roman" w:hAnsi="宋体"/>
                <w:bCs/>
                <w:szCs w:val="20"/>
              </w:rPr>
              <w:t>掌握院外急救的原则和院外急救护理。</w:t>
            </w:r>
          </w:p>
          <w:p w14:paraId="11441934">
            <w:pPr>
              <w:keepNext w:val="0"/>
              <w:keepLines w:val="0"/>
              <w:suppressLineNumbers w:val="0"/>
              <w:spacing w:before="0" w:beforeAutospacing="0" w:after="0" w:afterAutospacing="0" w:line="360" w:lineRule="auto"/>
              <w:ind w:left="0" w:right="0" w:hanging="8"/>
              <w:rPr>
                <w:rFonts w:hint="default" w:ascii="Times New Roman" w:hAnsi="Times New Roman"/>
                <w:b/>
                <w:szCs w:val="20"/>
              </w:rPr>
            </w:pPr>
            <w:r>
              <w:rPr>
                <w:rFonts w:hint="default" w:ascii="Times New Roman" w:hAnsi="Times New Roman"/>
                <w:b/>
                <w:szCs w:val="20"/>
              </w:rPr>
              <w:t>思政育人目标</w:t>
            </w:r>
            <w:r>
              <w:rPr>
                <w:rFonts w:hint="eastAsia" w:ascii="Times New Roman" w:hAnsi="Times New Roman"/>
                <w:b/>
                <w:szCs w:val="20"/>
              </w:rPr>
              <w:t>：</w:t>
            </w:r>
          </w:p>
          <w:p w14:paraId="0E2ECF3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6" w:right="0" w:firstLine="420" w:firstLineChars="200"/>
              <w:textAlignment w:val="auto"/>
              <w:rPr>
                <w:rFonts w:hint="eastAsia" w:ascii="Times New Roman" w:hAnsi="Times New Roman" w:eastAsia="宋体"/>
                <w:szCs w:val="20"/>
                <w:lang w:val="en-US" w:eastAsia="zh-CN"/>
              </w:rPr>
            </w:pPr>
            <w:r>
              <w:rPr>
                <w:rFonts w:hint="eastAsia" w:ascii="Times New Roman" w:hAnsi="宋体"/>
                <w:bCs/>
                <w:szCs w:val="20"/>
              </w:rPr>
              <w:t>让学生通过学习</w:t>
            </w:r>
            <w:r>
              <w:rPr>
                <w:rFonts w:hint="eastAsia" w:ascii="Times New Roman" w:hAnsi="宋体"/>
                <w:bCs/>
                <w:szCs w:val="20"/>
                <w:lang w:eastAsia="zh-CN"/>
              </w:rPr>
              <w:t>绪论</w:t>
            </w:r>
            <w:r>
              <w:rPr>
                <w:rFonts w:hint="eastAsia" w:ascii="Times New Roman" w:hAnsi="宋体"/>
                <w:bCs/>
                <w:szCs w:val="20"/>
              </w:rPr>
              <w:t>，具备关心、爱护病人的职业道德</w:t>
            </w:r>
            <w:r>
              <w:rPr>
                <w:rFonts w:hint="eastAsia" w:ascii="Times New Roman" w:hAnsi="宋体"/>
                <w:bCs/>
                <w:szCs w:val="20"/>
                <w:lang w:val="en-US" w:eastAsia="zh-CN"/>
              </w:rPr>
              <w:t>以及具备关心、爱护病人的职业道德。</w:t>
            </w:r>
          </w:p>
        </w:tc>
      </w:tr>
      <w:tr w14:paraId="24DFA4C4">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77B9A2E8">
            <w:pPr>
              <w:keepNext w:val="0"/>
              <w:keepLines w:val="0"/>
              <w:suppressLineNumbers w:val="0"/>
              <w:spacing w:before="0" w:beforeAutospacing="0" w:after="0" w:afterAutospacing="0" w:line="264" w:lineRule="auto"/>
              <w:ind w:left="0" w:right="0" w:hanging="8"/>
              <w:jc w:val="center"/>
              <w:rPr>
                <w:rFonts w:hint="default" w:ascii="Times New Roman" w:hAnsi="宋体"/>
                <w:b/>
                <w:szCs w:val="20"/>
              </w:rPr>
            </w:pPr>
            <w:r>
              <w:rPr>
                <w:rFonts w:hint="default" w:ascii="Times New Roman" w:hAnsi="宋体"/>
                <w:b/>
                <w:szCs w:val="20"/>
              </w:rPr>
              <w:t>教学重</w:t>
            </w:r>
            <w:r>
              <w:rPr>
                <w:rFonts w:hint="eastAsia" w:ascii="Times New Roman" w:hAnsi="宋体"/>
                <w:b/>
                <w:szCs w:val="20"/>
              </w:rPr>
              <w:t>难</w:t>
            </w:r>
            <w:r>
              <w:rPr>
                <w:rFonts w:hint="default" w:ascii="Times New Roman" w:hAnsi="宋体"/>
                <w:b/>
                <w:szCs w:val="20"/>
              </w:rPr>
              <w:t>点</w:t>
            </w:r>
          </w:p>
        </w:tc>
        <w:tc>
          <w:tcPr>
            <w:tcW w:w="7173" w:type="dxa"/>
            <w:gridSpan w:val="2"/>
            <w:tcBorders>
              <w:tl2br w:val="nil"/>
              <w:tr2bl w:val="nil"/>
            </w:tcBorders>
            <w:vAlign w:val="center"/>
          </w:tcPr>
          <w:p w14:paraId="0B1C3951">
            <w:pPr>
              <w:keepNext w:val="0"/>
              <w:keepLines w:val="0"/>
              <w:suppressLineNumbers w:val="0"/>
              <w:spacing w:before="0" w:beforeAutospacing="0" w:after="0" w:afterAutospacing="0" w:line="360" w:lineRule="auto"/>
              <w:ind w:left="0" w:right="0" w:hanging="8"/>
              <w:rPr>
                <w:rFonts w:hint="eastAsia" w:ascii="Times New Roman" w:hAnsi="Times New Roman" w:eastAsia="宋体"/>
                <w:szCs w:val="20"/>
                <w:lang w:eastAsia="zh-CN"/>
              </w:rPr>
            </w:pPr>
            <w:r>
              <w:rPr>
                <w:rFonts w:hint="eastAsia" w:ascii="Times New Roman" w:hAnsi="Times New Roman"/>
                <w:b/>
                <w:szCs w:val="20"/>
              </w:rPr>
              <w:t>教学重点：</w:t>
            </w:r>
            <w:r>
              <w:rPr>
                <w:rFonts w:hint="eastAsia" w:ascii="宋体" w:hAnsi="宋体" w:cs="宋体"/>
                <w:kern w:val="0"/>
              </w:rPr>
              <w:t>院外急救的性质</w:t>
            </w:r>
          </w:p>
          <w:p w14:paraId="0055B182">
            <w:pPr>
              <w:keepNext w:val="0"/>
              <w:keepLines w:val="0"/>
              <w:suppressLineNumbers w:val="0"/>
              <w:spacing w:before="0" w:beforeAutospacing="0" w:after="0" w:afterAutospacing="0" w:line="360" w:lineRule="auto"/>
              <w:ind w:left="0" w:right="0" w:hanging="8"/>
              <w:rPr>
                <w:rFonts w:hint="default" w:ascii="Times New Roman" w:hAnsi="Times New Roman"/>
                <w:szCs w:val="20"/>
              </w:rPr>
            </w:pPr>
            <w:r>
              <w:rPr>
                <w:rFonts w:hint="eastAsia" w:ascii="Times New Roman" w:hAnsi="Times New Roman"/>
                <w:b/>
                <w:szCs w:val="20"/>
              </w:rPr>
              <w:t>教学难点：</w:t>
            </w:r>
            <w:r>
              <w:rPr>
                <w:rFonts w:hint="eastAsia" w:ascii="宋体" w:hAnsi="宋体" w:cs="宋体"/>
                <w:kern w:val="0"/>
              </w:rPr>
              <w:t>院外急救的特点</w:t>
            </w:r>
          </w:p>
        </w:tc>
      </w:tr>
      <w:tr w14:paraId="0B4CF933">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7F25E562">
            <w:pPr>
              <w:keepNext w:val="0"/>
              <w:keepLines w:val="0"/>
              <w:suppressLineNumbers w:val="0"/>
              <w:spacing w:before="0" w:beforeAutospacing="0" w:after="0" w:afterAutospacing="0" w:line="264" w:lineRule="auto"/>
              <w:ind w:left="0" w:right="0" w:hanging="8"/>
              <w:jc w:val="center"/>
              <w:rPr>
                <w:rFonts w:hint="default" w:ascii="Times New Roman" w:hAnsi="Times New Roman"/>
                <w:b/>
                <w:szCs w:val="20"/>
              </w:rPr>
            </w:pPr>
            <w:r>
              <w:rPr>
                <w:rFonts w:hint="default" w:ascii="Times New Roman" w:hAnsi="宋体"/>
                <w:b/>
                <w:szCs w:val="20"/>
              </w:rPr>
              <w:t>教学方法</w:t>
            </w:r>
          </w:p>
        </w:tc>
        <w:tc>
          <w:tcPr>
            <w:tcW w:w="7173" w:type="dxa"/>
            <w:gridSpan w:val="2"/>
            <w:tcBorders>
              <w:tl2br w:val="nil"/>
              <w:tr2bl w:val="nil"/>
            </w:tcBorders>
            <w:vAlign w:val="center"/>
          </w:tcPr>
          <w:p w14:paraId="52DE90CE">
            <w:pPr>
              <w:keepNext w:val="0"/>
              <w:keepLines w:val="0"/>
              <w:suppressLineNumbers w:val="0"/>
              <w:spacing w:before="0" w:beforeAutospacing="0" w:after="0" w:afterAutospacing="0" w:line="360" w:lineRule="auto"/>
              <w:ind w:left="0" w:right="0" w:hanging="8"/>
              <w:rPr>
                <w:rFonts w:hint="default" w:ascii="Times New Roman" w:hAnsi="Times New Roman"/>
                <w:szCs w:val="20"/>
              </w:rPr>
            </w:pPr>
            <w:r>
              <w:rPr>
                <w:rFonts w:hint="eastAsia" w:ascii="Times New Roman" w:hAnsi="宋体"/>
                <w:szCs w:val="20"/>
              </w:rPr>
              <w:t>讲授法、问答法、讨论法</w:t>
            </w:r>
          </w:p>
        </w:tc>
      </w:tr>
      <w:tr w14:paraId="3F5BE826">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4A829E79">
            <w:pPr>
              <w:keepNext w:val="0"/>
              <w:keepLines w:val="0"/>
              <w:suppressLineNumbers w:val="0"/>
              <w:spacing w:before="0" w:beforeAutospacing="0" w:after="0" w:afterAutospacing="0" w:line="264" w:lineRule="auto"/>
              <w:ind w:left="0" w:right="0" w:hanging="8"/>
              <w:jc w:val="center"/>
              <w:rPr>
                <w:rFonts w:hint="default" w:ascii="Times New Roman" w:hAnsi="Times New Roman"/>
                <w:b/>
                <w:szCs w:val="20"/>
              </w:rPr>
            </w:pPr>
            <w:r>
              <w:rPr>
                <w:rFonts w:hint="default" w:ascii="Times New Roman" w:hAnsi="宋体"/>
                <w:b/>
                <w:szCs w:val="20"/>
              </w:rPr>
              <w:t>教学用具</w:t>
            </w:r>
          </w:p>
        </w:tc>
        <w:tc>
          <w:tcPr>
            <w:tcW w:w="7173" w:type="dxa"/>
            <w:gridSpan w:val="2"/>
            <w:tcBorders>
              <w:tl2br w:val="nil"/>
              <w:tr2bl w:val="nil"/>
            </w:tcBorders>
            <w:vAlign w:val="center"/>
          </w:tcPr>
          <w:p w14:paraId="3F207B4A">
            <w:pPr>
              <w:keepNext w:val="0"/>
              <w:keepLines w:val="0"/>
              <w:suppressLineNumbers w:val="0"/>
              <w:spacing w:before="0" w:beforeAutospacing="0" w:after="0" w:afterAutospacing="0" w:line="360" w:lineRule="auto"/>
              <w:ind w:left="0" w:right="0" w:hanging="8"/>
              <w:rPr>
                <w:rFonts w:hint="default" w:ascii="Times New Roman" w:hAnsi="Times New Roman"/>
                <w:szCs w:val="20"/>
              </w:rPr>
            </w:pPr>
            <w:r>
              <w:rPr>
                <w:rFonts w:hint="eastAsia" w:ascii="Times New Roman" w:hAnsi="宋体"/>
                <w:szCs w:val="20"/>
              </w:rPr>
              <w:t>电脑、投影仪、</w:t>
            </w:r>
            <w:r>
              <w:rPr>
                <w:rFonts w:hint="default" w:ascii="Times New Roman" w:hAnsi="宋体"/>
                <w:szCs w:val="20"/>
              </w:rPr>
              <w:t>多媒体</w:t>
            </w:r>
            <w:r>
              <w:rPr>
                <w:rFonts w:hint="eastAsia" w:ascii="Times New Roman" w:hAnsi="宋体"/>
                <w:szCs w:val="20"/>
              </w:rPr>
              <w:t>课件、教材</w:t>
            </w:r>
          </w:p>
        </w:tc>
      </w:tr>
      <w:tr w14:paraId="6577BA12">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bottom w:val="double" w:color="4472C4" w:themeColor="accent5" w:sz="4" w:space="0"/>
              <w:tl2br w:val="nil"/>
              <w:tr2bl w:val="nil"/>
            </w:tcBorders>
            <w:shd w:val="clear" w:color="auto" w:fill="D0E6FF"/>
            <w:vAlign w:val="center"/>
          </w:tcPr>
          <w:p w14:paraId="4CB09535">
            <w:pPr>
              <w:keepNext w:val="0"/>
              <w:keepLines w:val="0"/>
              <w:suppressLineNumbers w:val="0"/>
              <w:spacing w:before="0" w:beforeAutospacing="0" w:after="0" w:afterAutospacing="0" w:line="264" w:lineRule="auto"/>
              <w:ind w:left="0" w:right="0" w:hanging="8"/>
              <w:jc w:val="center"/>
              <w:rPr>
                <w:rFonts w:hint="default" w:ascii="Times New Roman" w:hAnsi="宋体"/>
                <w:b/>
                <w:szCs w:val="20"/>
              </w:rPr>
            </w:pPr>
            <w:r>
              <w:rPr>
                <w:rFonts w:hint="default" w:ascii="Times New Roman" w:hAnsi="宋体"/>
                <w:b/>
                <w:szCs w:val="20"/>
              </w:rPr>
              <w:t>教学设计</w:t>
            </w:r>
          </w:p>
        </w:tc>
        <w:tc>
          <w:tcPr>
            <w:tcW w:w="7173" w:type="dxa"/>
            <w:gridSpan w:val="2"/>
            <w:tcBorders>
              <w:bottom w:val="double" w:color="4472C4" w:themeColor="accent5" w:sz="4" w:space="0"/>
              <w:tl2br w:val="nil"/>
              <w:tr2bl w:val="nil"/>
            </w:tcBorders>
            <w:vAlign w:val="center"/>
          </w:tcPr>
          <w:p w14:paraId="28C6D928">
            <w:pPr>
              <w:keepNext w:val="0"/>
              <w:keepLines w:val="0"/>
              <w:suppressLineNumbers w:val="0"/>
              <w:spacing w:before="0" w:beforeAutospacing="0" w:after="0" w:afterAutospacing="0" w:line="360" w:lineRule="auto"/>
              <w:ind w:left="0" w:right="0" w:hanging="8"/>
              <w:rPr>
                <w:rFonts w:hint="default" w:ascii="Times New Roman" w:hAnsi="宋体" w:eastAsia="宋体"/>
                <w:szCs w:val="20"/>
                <w:lang w:val="en-US" w:eastAsia="zh-CN"/>
              </w:rPr>
            </w:pPr>
            <w:r>
              <w:rPr>
                <w:rFonts w:hint="eastAsia" w:ascii="Times New Roman" w:hAnsi="宋体"/>
                <w:kern w:val="0"/>
                <w:szCs w:val="20"/>
              </w:rPr>
              <w:t>第</w:t>
            </w:r>
            <w:r>
              <w:rPr>
                <w:rFonts w:hint="default" w:ascii="Times New Roman" w:hAnsi="宋体"/>
                <w:kern w:val="0"/>
                <w:szCs w:val="20"/>
              </w:rPr>
              <w:t>1</w:t>
            </w:r>
            <w:r>
              <w:rPr>
                <w:rFonts w:hint="eastAsia" w:ascii="Times New Roman" w:hAnsi="宋体"/>
                <w:kern w:val="0"/>
                <w:szCs w:val="20"/>
              </w:rPr>
              <w:t>节课：</w:t>
            </w:r>
            <w:r>
              <w:rPr>
                <w:rFonts w:hint="eastAsia" w:ascii="Times New Roman" w:hAnsi="宋体"/>
                <w:szCs w:val="20"/>
                <w:lang w:eastAsia="zh-CN"/>
              </w:rPr>
              <w:t>考勤</w:t>
            </w:r>
            <w:r>
              <w:rPr>
                <w:rFonts w:hint="eastAsia" w:ascii="Times New Roman" w:hAnsi="宋体"/>
                <w:szCs w:val="20"/>
              </w:rPr>
              <w:t>（</w:t>
            </w:r>
            <w:r>
              <w:rPr>
                <w:rFonts w:hint="eastAsia" w:ascii="Times New Roman" w:hAnsi="宋体"/>
                <w:szCs w:val="20"/>
                <w:lang w:val="en-US" w:eastAsia="zh-CN"/>
              </w:rPr>
              <w:t>2</w:t>
            </w:r>
            <w:r>
              <w:rPr>
                <w:rFonts w:hint="eastAsia" w:ascii="Times New Roman" w:hAnsi="宋体"/>
                <w:szCs w:val="20"/>
              </w:rPr>
              <w:t>min）--</w:t>
            </w:r>
            <w:r>
              <w:rPr>
                <w:rFonts w:hint="eastAsia" w:ascii="Times New Roman" w:hAnsi="宋体"/>
                <w:szCs w:val="20"/>
                <w:lang w:eastAsia="zh-CN"/>
              </w:rPr>
              <w:t>知识讲解</w:t>
            </w:r>
            <w:r>
              <w:rPr>
                <w:rFonts w:hint="eastAsia" w:ascii="Times New Roman" w:hAnsi="宋体"/>
                <w:szCs w:val="20"/>
              </w:rPr>
              <w:t>（</w:t>
            </w:r>
            <w:r>
              <w:rPr>
                <w:rFonts w:hint="default" w:ascii="Times New Roman" w:hAnsi="宋体"/>
                <w:szCs w:val="20"/>
              </w:rPr>
              <w:t>40</w:t>
            </w:r>
            <w:r>
              <w:rPr>
                <w:rFonts w:hint="eastAsia" w:ascii="Times New Roman" w:hAnsi="宋体"/>
                <w:szCs w:val="20"/>
              </w:rPr>
              <w:t>min）</w:t>
            </w:r>
            <w:r>
              <w:rPr>
                <w:rFonts w:hint="eastAsia" w:ascii="Times New Roman" w:hAnsi="宋体"/>
                <w:szCs w:val="20"/>
                <w:lang w:val="en-US" w:eastAsia="zh-CN"/>
              </w:rPr>
              <w:t>--作业布置（3min）</w:t>
            </w:r>
          </w:p>
          <w:p w14:paraId="76977F04">
            <w:pPr>
              <w:keepNext w:val="0"/>
              <w:keepLines w:val="0"/>
              <w:suppressLineNumbers w:val="0"/>
              <w:spacing w:before="0" w:beforeAutospacing="0" w:after="0" w:afterAutospacing="0" w:line="360" w:lineRule="auto"/>
              <w:ind w:left="0" w:right="0" w:hanging="8"/>
              <w:rPr>
                <w:rFonts w:hint="default" w:ascii="Times New Roman" w:hAnsi="宋体" w:eastAsia="宋体"/>
                <w:szCs w:val="20"/>
                <w:lang w:val="en-US" w:eastAsia="zh-CN"/>
              </w:rPr>
            </w:pPr>
            <w:r>
              <w:rPr>
                <w:rFonts w:hint="eastAsia" w:ascii="Times New Roman" w:hAnsi="宋体"/>
                <w:kern w:val="0"/>
                <w:szCs w:val="20"/>
              </w:rPr>
              <w:t>第</w:t>
            </w:r>
            <w:r>
              <w:rPr>
                <w:rFonts w:hint="default" w:ascii="Times New Roman" w:hAnsi="宋体"/>
                <w:kern w:val="0"/>
                <w:szCs w:val="20"/>
              </w:rPr>
              <w:t>2</w:t>
            </w:r>
            <w:r>
              <w:rPr>
                <w:rFonts w:hint="eastAsia" w:ascii="Times New Roman" w:hAnsi="宋体"/>
                <w:kern w:val="0"/>
                <w:szCs w:val="20"/>
              </w:rPr>
              <w:t>节课：</w:t>
            </w:r>
            <w:r>
              <w:rPr>
                <w:rFonts w:hint="eastAsia" w:ascii="Times New Roman" w:hAnsi="宋体"/>
                <w:szCs w:val="20"/>
                <w:lang w:eastAsia="zh-CN"/>
              </w:rPr>
              <w:t>知识讲解</w:t>
            </w:r>
            <w:r>
              <w:rPr>
                <w:rFonts w:hint="eastAsia" w:ascii="Times New Roman" w:hAnsi="宋体"/>
                <w:szCs w:val="20"/>
              </w:rPr>
              <w:t>（40min）--</w:t>
            </w:r>
            <w:r>
              <w:rPr>
                <w:rFonts w:hint="eastAsia" w:ascii="Times New Roman" w:hAnsi="宋体"/>
                <w:szCs w:val="20"/>
                <w:lang w:eastAsia="zh-CN"/>
              </w:rPr>
              <w:t>课堂小结</w:t>
            </w:r>
            <w:r>
              <w:rPr>
                <w:rFonts w:hint="eastAsia" w:ascii="Times New Roman" w:hAnsi="宋体"/>
                <w:szCs w:val="20"/>
              </w:rPr>
              <w:t>（3min）</w:t>
            </w:r>
            <w:r>
              <w:rPr>
                <w:rFonts w:hint="eastAsia" w:ascii="Times New Roman" w:hAnsi="宋体"/>
                <w:szCs w:val="20"/>
                <w:lang w:val="en-US" w:eastAsia="zh-CN"/>
              </w:rPr>
              <w:t>--作业布置（2min）</w:t>
            </w:r>
          </w:p>
          <w:p w14:paraId="3DE1D0B1">
            <w:pPr>
              <w:keepNext w:val="0"/>
              <w:keepLines w:val="0"/>
              <w:suppressLineNumbers w:val="0"/>
              <w:spacing w:before="0" w:beforeAutospacing="0" w:after="0" w:afterAutospacing="0" w:line="360" w:lineRule="auto"/>
              <w:ind w:left="0" w:right="0" w:hanging="8"/>
              <w:rPr>
                <w:rFonts w:hint="default" w:ascii="Times New Roman" w:hAnsi="宋体"/>
                <w:szCs w:val="20"/>
              </w:rPr>
            </w:pPr>
            <w:r>
              <w:rPr>
                <w:rFonts w:hint="eastAsia" w:ascii="Times New Roman" w:hAnsi="宋体"/>
                <w:kern w:val="0"/>
                <w:szCs w:val="20"/>
              </w:rPr>
              <w:t>第</w:t>
            </w:r>
            <w:r>
              <w:rPr>
                <w:rFonts w:hint="default" w:ascii="Times New Roman" w:hAnsi="宋体"/>
                <w:kern w:val="0"/>
                <w:szCs w:val="20"/>
              </w:rPr>
              <w:t>3</w:t>
            </w:r>
            <w:r>
              <w:rPr>
                <w:rFonts w:hint="eastAsia" w:ascii="Times New Roman" w:hAnsi="宋体"/>
                <w:kern w:val="0"/>
                <w:szCs w:val="20"/>
              </w:rPr>
              <w:t>节课：</w:t>
            </w:r>
            <w:r>
              <w:rPr>
                <w:rFonts w:hint="eastAsia" w:ascii="Times New Roman" w:hAnsi="宋体"/>
                <w:szCs w:val="20"/>
                <w:lang w:eastAsia="zh-CN"/>
              </w:rPr>
              <w:t>知识讲解</w:t>
            </w:r>
            <w:r>
              <w:rPr>
                <w:rFonts w:hint="eastAsia" w:ascii="Times New Roman" w:hAnsi="宋体"/>
                <w:szCs w:val="20"/>
              </w:rPr>
              <w:t>（40min）--</w:t>
            </w:r>
            <w:r>
              <w:rPr>
                <w:rFonts w:hint="eastAsia" w:ascii="Times New Roman" w:hAnsi="宋体"/>
                <w:szCs w:val="20"/>
                <w:lang w:eastAsia="zh-CN"/>
              </w:rPr>
              <w:t>课堂小结</w:t>
            </w:r>
            <w:r>
              <w:rPr>
                <w:rFonts w:hint="eastAsia" w:ascii="Times New Roman" w:hAnsi="宋体"/>
                <w:szCs w:val="20"/>
              </w:rPr>
              <w:t>（3min）--</w:t>
            </w:r>
            <w:r>
              <w:rPr>
                <w:rFonts w:hint="eastAsia" w:ascii="Times New Roman" w:hAnsi="宋体"/>
                <w:szCs w:val="20"/>
                <w:lang w:eastAsia="zh-CN"/>
              </w:rPr>
              <w:t>作业布置</w:t>
            </w:r>
            <w:r>
              <w:rPr>
                <w:rFonts w:hint="eastAsia" w:ascii="Times New Roman" w:hAnsi="宋体"/>
                <w:szCs w:val="20"/>
              </w:rPr>
              <w:t>（2min）</w:t>
            </w:r>
          </w:p>
        </w:tc>
      </w:tr>
      <w:tr w14:paraId="2432F7BB">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op w:val="double" w:color="4472C4" w:themeColor="accent5" w:sz="4" w:space="0"/>
              <w:bottom w:val="double" w:color="4472C4" w:themeColor="accent5" w:sz="4" w:space="0"/>
            </w:tcBorders>
            <w:shd w:val="clear" w:color="auto" w:fill="D0E6FF"/>
            <w:vAlign w:val="center"/>
          </w:tcPr>
          <w:p w14:paraId="34BF764C">
            <w:pPr>
              <w:keepNext w:val="0"/>
              <w:keepLines w:val="0"/>
              <w:suppressLineNumbers w:val="0"/>
              <w:spacing w:before="0" w:beforeAutospacing="0" w:after="0" w:afterAutospacing="0" w:line="264" w:lineRule="auto"/>
              <w:ind w:left="0" w:right="0" w:hanging="8"/>
              <w:jc w:val="center"/>
              <w:rPr>
                <w:rFonts w:hint="default" w:ascii="Times New Roman" w:hAnsi="Times New Roman"/>
                <w:b/>
                <w:bCs w:val="0"/>
                <w:color w:val="C00000"/>
                <w:szCs w:val="24"/>
              </w:rPr>
            </w:pPr>
            <w:r>
              <w:rPr>
                <w:rFonts w:hint="eastAsia" w:ascii="Times New Roman" w:hAnsi="Times New Roman"/>
                <w:b/>
                <w:bCs w:val="0"/>
                <w:color w:val="C00000"/>
                <w:szCs w:val="24"/>
              </w:rPr>
              <w:t>教学过程</w:t>
            </w:r>
          </w:p>
        </w:tc>
        <w:tc>
          <w:tcPr>
            <w:tcW w:w="5807" w:type="dxa"/>
            <w:tcBorders>
              <w:top w:val="double" w:color="4472C4" w:themeColor="accent5" w:sz="4" w:space="0"/>
              <w:bottom w:val="double" w:color="4472C4" w:themeColor="accent5" w:sz="4" w:space="0"/>
            </w:tcBorders>
            <w:shd w:val="clear" w:color="auto" w:fill="D0E6FF"/>
            <w:vAlign w:val="center"/>
          </w:tcPr>
          <w:p w14:paraId="7452546C">
            <w:pPr>
              <w:keepNext w:val="0"/>
              <w:keepLines w:val="0"/>
              <w:suppressLineNumbers w:val="0"/>
              <w:spacing w:before="0" w:beforeAutospacing="0" w:after="0" w:afterAutospacing="0" w:line="360" w:lineRule="auto"/>
              <w:ind w:left="0" w:right="0"/>
              <w:jc w:val="center"/>
              <w:rPr>
                <w:rFonts w:hint="default" w:ascii="Times New Roman" w:hAnsi="Times New Roman"/>
                <w:b/>
                <w:bCs w:val="0"/>
                <w:color w:val="C00000"/>
                <w:szCs w:val="20"/>
              </w:rPr>
            </w:pPr>
            <w:r>
              <w:rPr>
                <w:rFonts w:hint="eastAsia" w:ascii="Times New Roman" w:hAnsi="Times New Roman"/>
                <w:b/>
                <w:bCs w:val="0"/>
                <w:color w:val="C00000"/>
                <w:szCs w:val="24"/>
              </w:rPr>
              <w:t>主要教学内容及步骤</w:t>
            </w:r>
          </w:p>
        </w:tc>
        <w:tc>
          <w:tcPr>
            <w:tcW w:w="1366" w:type="dxa"/>
            <w:tcBorders>
              <w:top w:val="double" w:color="4472C4" w:themeColor="accent5" w:sz="4" w:space="0"/>
              <w:bottom w:val="double" w:color="4472C4" w:themeColor="accent5" w:sz="4" w:space="0"/>
            </w:tcBorders>
            <w:shd w:val="clear" w:color="auto" w:fill="D0E6FF"/>
            <w:vAlign w:val="center"/>
          </w:tcPr>
          <w:p w14:paraId="110CEFB6">
            <w:pPr>
              <w:keepNext w:val="0"/>
              <w:keepLines w:val="0"/>
              <w:suppressLineNumbers w:val="0"/>
              <w:spacing w:before="0" w:beforeAutospacing="0" w:after="0" w:afterAutospacing="0" w:line="360" w:lineRule="auto"/>
              <w:ind w:left="0" w:right="0"/>
              <w:jc w:val="center"/>
              <w:rPr>
                <w:rFonts w:hint="default" w:ascii="Times New Roman" w:hAnsi="Times New Roman"/>
                <w:b/>
                <w:bCs w:val="0"/>
                <w:color w:val="C00000"/>
                <w:szCs w:val="20"/>
              </w:rPr>
            </w:pPr>
            <w:r>
              <w:rPr>
                <w:rFonts w:hint="default" w:ascii="Times New Roman" w:hAnsi="Times New Roman"/>
                <w:b/>
                <w:bCs w:val="0"/>
                <w:color w:val="C00000"/>
                <w:szCs w:val="20"/>
              </w:rPr>
              <w:t>设计意图</w:t>
            </w:r>
          </w:p>
        </w:tc>
      </w:tr>
      <w:tr w14:paraId="54CCE70B">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op w:val="double" w:color="4472C4" w:themeColor="accent5" w:sz="4" w:space="0"/>
              <w:tl2br w:val="nil"/>
              <w:tr2bl w:val="nil"/>
            </w:tcBorders>
            <w:shd w:val="clear" w:color="auto" w:fill="D0E6FF"/>
            <w:vAlign w:val="center"/>
          </w:tcPr>
          <w:p w14:paraId="0A4962B0">
            <w:pPr>
              <w:keepNext w:val="0"/>
              <w:keepLines w:val="0"/>
              <w:suppressLineNumbers w:val="0"/>
              <w:spacing w:before="0" w:beforeAutospacing="0" w:after="0" w:afterAutospacing="0" w:line="264" w:lineRule="auto"/>
              <w:ind w:left="0" w:right="0" w:hanging="8"/>
              <w:jc w:val="center"/>
              <w:rPr>
                <w:rFonts w:hint="eastAsia" w:ascii="Times New Roman" w:hAnsi="Times New Roman"/>
                <w:b/>
                <w:szCs w:val="24"/>
                <w:lang w:eastAsia="zh-CN"/>
              </w:rPr>
            </w:pPr>
            <w:r>
              <w:rPr>
                <w:rFonts w:hint="eastAsia" w:ascii="Times New Roman" w:hAnsi="Times New Roman"/>
                <w:b/>
                <w:szCs w:val="24"/>
                <w:lang w:eastAsia="zh-CN"/>
              </w:rPr>
              <w:t>考勤</w:t>
            </w:r>
          </w:p>
          <w:p w14:paraId="6C2F6EE0">
            <w:pPr>
              <w:keepNext w:val="0"/>
              <w:keepLines w:val="0"/>
              <w:suppressLineNumbers w:val="0"/>
              <w:spacing w:before="0" w:beforeAutospacing="0" w:after="0" w:afterAutospacing="0" w:line="264" w:lineRule="auto"/>
              <w:ind w:left="0" w:right="0" w:hanging="8"/>
              <w:jc w:val="center"/>
              <w:rPr>
                <w:rFonts w:hint="eastAsia" w:ascii="Times New Roman" w:hAnsi="Times New Roman"/>
                <w:b/>
                <w:szCs w:val="24"/>
                <w:lang w:eastAsia="zh-CN"/>
              </w:rPr>
            </w:pPr>
            <w:r>
              <w:rPr>
                <w:rFonts w:hint="eastAsia" w:ascii="Times New Roman" w:hAnsi="Times New Roman"/>
                <w:b/>
                <w:szCs w:val="24"/>
                <w:lang w:eastAsia="zh-CN"/>
              </w:rPr>
              <w:t>（</w:t>
            </w:r>
            <w:r>
              <w:rPr>
                <w:rFonts w:hint="eastAsia" w:ascii="Times New Roman" w:hAnsi="Times New Roman"/>
                <w:b/>
                <w:szCs w:val="24"/>
                <w:lang w:val="en-US" w:eastAsia="zh-CN"/>
              </w:rPr>
              <w:t>2min</w:t>
            </w:r>
            <w:r>
              <w:rPr>
                <w:rFonts w:hint="eastAsia" w:ascii="Times New Roman" w:hAnsi="Times New Roman"/>
                <w:b/>
                <w:szCs w:val="24"/>
                <w:lang w:eastAsia="zh-CN"/>
              </w:rPr>
              <w:t>）</w:t>
            </w:r>
          </w:p>
        </w:tc>
        <w:tc>
          <w:tcPr>
            <w:tcW w:w="5807" w:type="dxa"/>
            <w:tcBorders>
              <w:top w:val="double" w:color="4472C4" w:themeColor="accent5" w:sz="4" w:space="0"/>
              <w:tl2br w:val="nil"/>
              <w:tr2bl w:val="nil"/>
            </w:tcBorders>
            <w:vAlign w:val="center"/>
          </w:tcPr>
          <w:p w14:paraId="10BF879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left"/>
              <w:textAlignment w:val="auto"/>
              <w:rPr>
                <w:rFonts w:hint="eastAsia" w:ascii="Times New Roman" w:hAnsi="Times New Roman"/>
                <w:color w:val="C00000"/>
                <w:szCs w:val="24"/>
              </w:rPr>
            </w:pPr>
            <w:r>
              <w:rPr>
                <w:rFonts w:hint="eastAsia" w:ascii="Times New Roman" w:hAnsi="Times New Roman"/>
                <w:color w:val="C00000"/>
                <w:szCs w:val="24"/>
              </w:rPr>
              <w:t>■</w:t>
            </w:r>
            <w:r>
              <w:rPr>
                <w:rFonts w:hint="eastAsia" w:ascii="Times New Roman" w:hAnsi="Times New Roman"/>
                <w:color w:val="C00000"/>
                <w:szCs w:val="24"/>
                <w:lang w:eastAsia="zh-CN"/>
              </w:rPr>
              <w:t>【教师】</w:t>
            </w:r>
            <w:r>
              <w:rPr>
                <w:rFonts w:hint="eastAsia" w:ascii="Times New Roman" w:hAnsi="Times New Roman"/>
                <w:color w:val="C00000"/>
                <w:szCs w:val="24"/>
              </w:rPr>
              <w:t>清点上课人数，记录好考勤</w:t>
            </w:r>
          </w:p>
          <w:p w14:paraId="5E55E65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left"/>
              <w:textAlignment w:val="auto"/>
              <w:rPr>
                <w:rFonts w:hint="eastAsia" w:ascii="Times New Roman" w:hAnsi="Times New Roman"/>
                <w:szCs w:val="24"/>
              </w:rPr>
            </w:pPr>
            <w:r>
              <w:rPr>
                <w:rFonts w:hint="eastAsia" w:ascii="Times New Roman" w:hAnsi="Times New Roman"/>
                <w:color w:val="548235" w:themeColor="accent6" w:themeShade="BF"/>
                <w:szCs w:val="24"/>
              </w:rPr>
              <w:t>■</w:t>
            </w:r>
            <w:r>
              <w:rPr>
                <w:rFonts w:hint="eastAsia" w:ascii="Times New Roman" w:hAnsi="Times New Roman"/>
                <w:color w:val="548235" w:themeColor="accent6" w:themeShade="BF"/>
                <w:szCs w:val="24"/>
                <w:lang w:eastAsia="zh-CN"/>
              </w:rPr>
              <w:t>【学生】</w:t>
            </w:r>
            <w:r>
              <w:rPr>
                <w:rFonts w:hint="eastAsia" w:ascii="Times New Roman" w:hAnsi="Times New Roman"/>
                <w:color w:val="548235" w:themeColor="accent6" w:themeShade="BF"/>
                <w:szCs w:val="24"/>
              </w:rPr>
              <w:t>班干部报请假人员及原因</w:t>
            </w:r>
          </w:p>
        </w:tc>
        <w:tc>
          <w:tcPr>
            <w:tcW w:w="1366" w:type="dxa"/>
            <w:tcBorders>
              <w:top w:val="double" w:color="4472C4" w:themeColor="accent5" w:sz="4" w:space="0"/>
              <w:tl2br w:val="nil"/>
              <w:tr2bl w:val="nil"/>
            </w:tcBorders>
            <w:vAlign w:val="center"/>
          </w:tcPr>
          <w:p w14:paraId="73FE1DD0">
            <w:pPr>
              <w:keepNext w:val="0"/>
              <w:keepLines w:val="0"/>
              <w:suppressLineNumbers w:val="0"/>
              <w:spacing w:before="0" w:beforeAutospacing="0" w:after="0" w:afterAutospacing="0" w:line="360" w:lineRule="auto"/>
              <w:ind w:left="0" w:right="0"/>
              <w:jc w:val="center"/>
              <w:rPr>
                <w:rFonts w:hint="default" w:ascii="Times New Roman" w:hAnsi="Times New Roman"/>
                <w:szCs w:val="20"/>
              </w:rPr>
            </w:pPr>
            <w:r>
              <w:rPr>
                <w:rFonts w:hint="eastAsia" w:ascii="Times New Roman" w:hAnsi="Times New Roman"/>
                <w:szCs w:val="20"/>
              </w:rPr>
              <w:t>培养学生的组织纪律性,掌握学生的出勤情况</w:t>
            </w:r>
          </w:p>
        </w:tc>
      </w:tr>
      <w:tr w14:paraId="0E7DE40B">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388C905B">
            <w:pPr>
              <w:keepNext w:val="0"/>
              <w:keepLines w:val="0"/>
              <w:suppressLineNumbers w:val="0"/>
              <w:spacing w:before="0" w:beforeAutospacing="0" w:after="0" w:afterAutospacing="0"/>
              <w:ind w:left="0" w:right="0"/>
              <w:jc w:val="center"/>
              <w:rPr>
                <w:rFonts w:hint="eastAsia" w:ascii="微软雅黑" w:hAnsi="微软雅黑" w:eastAsia="微软雅黑"/>
                <w:b/>
                <w:sz w:val="24"/>
                <w:szCs w:val="24"/>
                <w:lang w:eastAsia="zh-CN"/>
              </w:rPr>
            </w:pPr>
            <w:r>
              <w:rPr>
                <w:rFonts w:hint="eastAsia" w:ascii="微软雅黑" w:hAnsi="微软雅黑" w:eastAsia="微软雅黑"/>
                <w:b/>
                <w:sz w:val="24"/>
                <w:szCs w:val="24"/>
                <w:lang w:eastAsia="zh-CN"/>
              </w:rPr>
              <w:t>知识讲解</w:t>
            </w:r>
          </w:p>
          <w:p w14:paraId="791D7EE5">
            <w:pPr>
              <w:keepNext w:val="0"/>
              <w:keepLines w:val="0"/>
              <w:suppressLineNumbers w:val="0"/>
              <w:spacing w:before="0" w:beforeAutospacing="0" w:after="0" w:afterAutospacing="0" w:line="264" w:lineRule="auto"/>
              <w:ind w:left="0" w:right="0" w:hanging="8"/>
              <w:jc w:val="center"/>
              <w:rPr>
                <w:rFonts w:hint="default" w:ascii="Times New Roman" w:hAnsi="Times New Roman"/>
                <w:b/>
                <w:szCs w:val="24"/>
              </w:rPr>
            </w:pPr>
            <w:r>
              <w:rPr>
                <w:rFonts w:hint="default" w:ascii="Times New Roman" w:hAnsi="Times New Roman"/>
                <w:szCs w:val="24"/>
              </w:rPr>
              <w:t>（</w:t>
            </w:r>
            <w:r>
              <w:rPr>
                <w:rFonts w:hint="eastAsia" w:ascii="Times New Roman" w:hAnsi="Times New Roman"/>
                <w:szCs w:val="24"/>
                <w:lang w:val="en-US" w:eastAsia="zh-CN"/>
              </w:rPr>
              <w:t>40</w:t>
            </w:r>
            <w:r>
              <w:rPr>
                <w:rFonts w:hint="eastAsia" w:ascii="Times New Roman" w:hAnsi="Times New Roman"/>
                <w:szCs w:val="24"/>
              </w:rPr>
              <w:t>min</w:t>
            </w:r>
            <w:r>
              <w:rPr>
                <w:rFonts w:hint="default" w:ascii="Times New Roman" w:hAnsi="Times New Roman"/>
                <w:szCs w:val="24"/>
              </w:rPr>
              <w:t>）</w:t>
            </w:r>
          </w:p>
        </w:tc>
        <w:tc>
          <w:tcPr>
            <w:tcW w:w="5807" w:type="dxa"/>
            <w:tcBorders>
              <w:tl2br w:val="nil"/>
              <w:tr2bl w:val="nil"/>
            </w:tcBorders>
            <w:vAlign w:val="center"/>
          </w:tcPr>
          <w:p w14:paraId="18F94544">
            <w:pPr>
              <w:keepNext w:val="0"/>
              <w:keepLines w:val="0"/>
              <w:widowControl/>
              <w:suppressLineNumbers w:val="0"/>
              <w:spacing w:before="0" w:beforeAutospacing="0" w:after="0" w:afterAutospacing="0" w:line="360" w:lineRule="auto"/>
              <w:ind w:left="0" w:right="0"/>
              <w:jc w:val="left"/>
              <w:rPr>
                <w:rFonts w:hint="eastAsia" w:ascii="Times New Roman" w:hAnsi="Times New Roman"/>
                <w:b w:val="0"/>
                <w:bCs/>
                <w:color w:val="C00000"/>
                <w:lang w:val="en-US" w:eastAsia="zh-CN"/>
              </w:rPr>
            </w:pPr>
            <w:r>
              <w:rPr>
                <w:rFonts w:hint="eastAsia" w:ascii="Times New Roman" w:hAnsi="Times New Roman"/>
                <w:b/>
                <w:color w:val="C00000"/>
              </w:rPr>
              <w:t>【教师】</w:t>
            </w:r>
            <w:r>
              <w:rPr>
                <w:rFonts w:hint="eastAsia" w:ascii="宋体" w:hAnsi="宋体" w:eastAsia="宋体" w:cs="宋体"/>
                <w:b w:val="0"/>
                <w:bCs/>
                <w:color w:val="C00000"/>
                <w:kern w:val="2"/>
                <w:sz w:val="21"/>
                <w:szCs w:val="21"/>
                <w:lang w:val="en-US" w:eastAsia="zh-CN" w:bidi="ar"/>
              </w:rPr>
              <w:t>展示概述（</w:t>
            </w:r>
            <w:r>
              <w:rPr>
                <w:rFonts w:hint="eastAsia" w:ascii="Times New Roman" w:hAnsi="Times New Roman"/>
                <w:b w:val="0"/>
                <w:bCs/>
                <w:color w:val="C00000"/>
                <w:lang w:val="en-US" w:eastAsia="zh-CN"/>
              </w:rPr>
              <w:t>一）</w:t>
            </w:r>
          </w:p>
          <w:p w14:paraId="7BDE832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bCs w:val="0"/>
                <w:color w:val="000000" w:themeColor="text1"/>
                <w:lang w:val="en-US" w:eastAsia="zh-CN"/>
                <w14:textFill>
                  <w14:solidFill>
                    <w14:schemeClr w14:val="tx1"/>
                  </w14:solidFill>
                </w14:textFill>
              </w:rPr>
              <w:t>一、院外急救的性质</w:t>
            </w:r>
          </w:p>
          <w:p w14:paraId="0802128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院外急救是急诊医疗服务体系（EMSS）中的首要环节和重要的基础部分。猝死患者抢救最佳时间是 4 分钟，严重创伤患者抢救黄金时间是 30 分钟。</w:t>
            </w:r>
          </w:p>
          <w:p w14:paraId="5D19FA4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及时有效的院外急救对于挽救生命、减轻痛苦、防止再损伤及提高抢救成功率、降低伤残风险、避免并发症和后遗症都有非常重要的意义。</w:t>
            </w:r>
          </w:p>
          <w:p w14:paraId="7208AA5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bCs w:val="0"/>
                <w:color w:val="000000" w:themeColor="text1"/>
                <w:lang w:val="en-US" w:eastAsia="zh-CN"/>
                <w14:textFill>
                  <w14:solidFill>
                    <w14:schemeClr w14:val="tx1"/>
                  </w14:solidFill>
                </w14:textFill>
              </w:rPr>
              <w:t>二、院外急救的特点</w:t>
            </w:r>
          </w:p>
          <w:p w14:paraId="4B5B8E1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院外急救所抢救的对象、环境、时间、条件和在医院急诊科相比更为复杂，故形成了它独有的特点。</w:t>
            </w:r>
          </w:p>
          <w:p w14:paraId="78E6A61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bCs w:val="0"/>
                <w:color w:val="000000" w:themeColor="text1"/>
                <w:lang w:val="en-US" w:eastAsia="zh-CN"/>
                <w14:textFill>
                  <w14:solidFill>
                    <w14:schemeClr w14:val="tx1"/>
                  </w14:solidFill>
                </w14:textFill>
              </w:rPr>
              <w:t>（一）突发性</w:t>
            </w:r>
          </w:p>
          <w:p w14:paraId="57A710B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因院外急救的对象往往是在人们预料之外的突然发生的各种危及生命的急症、创伤、中毒、灾难事故等患者，事件发生随机性强，尤其当成批患者出现时会令人措手不及，如汶川地震发生时。所以，应普及和提高广大公众的救护知识和技能，相关部门要有预案，以便在突发事件出现时能及时进行自救、互救和专业救援。</w:t>
            </w:r>
          </w:p>
          <w:p w14:paraId="2AC5B50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default" w:ascii="Times New Roman" w:hAnsi="Times New Roman"/>
                <w:b/>
                <w:bCs w:val="0"/>
                <w:color w:val="000000" w:themeColor="text1"/>
                <w:lang w:val="en-US" w:eastAsia="zh-CN"/>
                <w14:textFill>
                  <w14:solidFill>
                    <w14:schemeClr w14:val="tx1"/>
                  </w14:solidFill>
                </w14:textFill>
              </w:rPr>
            </w:pPr>
            <w:r>
              <w:rPr>
                <w:rFonts w:hint="default" w:ascii="Times New Roman" w:hAnsi="Times New Roman"/>
                <w:b/>
                <w:bCs w:val="0"/>
                <w:color w:val="000000" w:themeColor="text1"/>
                <w:lang w:val="en-US" w:eastAsia="zh-CN"/>
                <w14:textFill>
                  <w14:solidFill>
                    <w14:schemeClr w14:val="tx1"/>
                  </w14:solidFill>
                </w14:textFill>
              </w:rPr>
              <w:t>（二）紧迫性</w:t>
            </w:r>
          </w:p>
          <w:p w14:paraId="6E2EDF3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院外急救的紧迫性不仅体现在病情急、时间急，而且还体现在心里急。对危及生命的严重情况，如窒息、张力性气胸、大出血、心肌梗死等，救护是否及时关系到患者的存亡；对非致死性的伤病，如脊椎损伤、胸腹部创伤等，救护及时与否也影响预后。因此，院外急救往往刻不容缓，救护人员要做到常备不懈、随叫随出，充分体现“时间就是生命”的抢救意识，并注意缓解患者及家属心理上的焦急与恐惧情绪。</w:t>
            </w:r>
          </w:p>
          <w:p w14:paraId="3CC6923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default" w:ascii="Times New Roman" w:hAnsi="Times New Roman"/>
                <w:b/>
                <w:bCs w:val="0"/>
                <w:color w:val="000000" w:themeColor="text1"/>
                <w:lang w:val="en-US" w:eastAsia="zh-CN"/>
                <w14:textFill>
                  <w14:solidFill>
                    <w14:schemeClr w14:val="tx1"/>
                  </w14:solidFill>
                </w14:textFill>
              </w:rPr>
            </w:pPr>
            <w:r>
              <w:rPr>
                <w:rFonts w:hint="default" w:ascii="Times New Roman" w:hAnsi="Times New Roman"/>
                <w:b/>
                <w:bCs w:val="0"/>
                <w:color w:val="000000" w:themeColor="text1"/>
                <w:lang w:val="en-US" w:eastAsia="zh-CN"/>
                <w14:textFill>
                  <w14:solidFill>
                    <w14:schemeClr w14:val="tx1"/>
                  </w14:solidFill>
                </w14:textFill>
              </w:rPr>
              <w:t>（三）艰难性</w:t>
            </w:r>
          </w:p>
          <w:p w14:paraId="5539A6C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气象、气候复杂，交通道路艰险，空间狭小，光线暗淡，噪声轰鸣，缺医少药等都使得院外急救比一般日常救护工作要艰难得多。急救医护人员必须具备强健的体魄、扎实的专业素质和现场局面的决策能力，能够努力克服各种困难，积极创造有利条件，尽力争取在各种恶劣条件下做好急救工作。</w:t>
            </w:r>
          </w:p>
          <w:p w14:paraId="35BAA69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bCs w:val="0"/>
                <w:color w:val="000000" w:themeColor="text1"/>
                <w:lang w:val="en-US" w:eastAsia="zh-CN"/>
                <w14:textFill>
                  <w14:solidFill>
                    <w14:schemeClr w14:val="tx1"/>
                  </w14:solidFill>
                </w14:textFill>
              </w:rPr>
              <w:t>（四）复杂性</w:t>
            </w:r>
          </w:p>
          <w:p w14:paraId="485EA39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院外急救往往涉及不同专科，病种多样，病情复杂危急，要求救护人员要在较短时间对患者进行评估、判断并合理处理。因此，要求参与院外急救的救护人员必须具备全面的较高的急救知识和技能，才能自如地应对可能出现的各种情况。</w:t>
            </w:r>
          </w:p>
          <w:p w14:paraId="0B27602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bCs w:val="0"/>
                <w:color w:val="000000" w:themeColor="text1"/>
                <w:lang w:val="en-US" w:eastAsia="zh-CN"/>
                <w14:textFill>
                  <w14:solidFill>
                    <w14:schemeClr w14:val="tx1"/>
                  </w14:solidFill>
                </w14:textFill>
              </w:rPr>
              <w:t>（五）灵活性</w:t>
            </w:r>
          </w:p>
          <w:p w14:paraId="0AD2454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院外急救常无齐备的抢救器材和药品，因此要机动灵活地在现场寻找替代品，就地取材，尽力把握更多的抢救机会，为患者争取抢救时间。</w:t>
            </w:r>
          </w:p>
          <w:p w14:paraId="63DCB81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default" w:ascii="Times New Roman" w:hAnsi="Times New Roman"/>
                <w:b/>
                <w:bCs w:val="0"/>
                <w:color w:val="000000" w:themeColor="text1"/>
                <w:lang w:val="en-US" w:eastAsia="zh-CN"/>
                <w14:textFill>
                  <w14:solidFill>
                    <w14:schemeClr w14:val="tx1"/>
                  </w14:solidFill>
                </w14:textFill>
              </w:rPr>
            </w:pPr>
            <w:r>
              <w:rPr>
                <w:rFonts w:hint="default" w:ascii="Times New Roman" w:hAnsi="Times New Roman"/>
                <w:b/>
                <w:bCs w:val="0"/>
                <w:color w:val="000000" w:themeColor="text1"/>
                <w:lang w:val="en-US" w:eastAsia="zh-CN"/>
                <w14:textFill>
                  <w14:solidFill>
                    <w14:schemeClr w14:val="tx1"/>
                  </w14:solidFill>
                </w14:textFill>
              </w:rPr>
              <w:t>（六）风险性</w:t>
            </w:r>
          </w:p>
          <w:p w14:paraId="0488906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院外急救不仅存在较大的技术风险，而且还存在人身伤害风险。如火灾现场、塌方现场、刑事犯罪现场、毒气泄漏现场、遇到精神病患者或酗酒者、救护车本身交通事故等，要求急救人员树立和加强自我保护意识。</w:t>
            </w:r>
          </w:p>
          <w:p w14:paraId="255DEE8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default" w:ascii="Times New Roman" w:hAnsi="Times New Roman"/>
                <w:b/>
                <w:bCs w:val="0"/>
                <w:color w:val="000000" w:themeColor="text1"/>
                <w:lang w:val="en-US" w:eastAsia="zh-CN"/>
                <w14:textFill>
                  <w14:solidFill>
                    <w14:schemeClr w14:val="tx1"/>
                  </w14:solidFill>
                </w14:textFill>
              </w:rPr>
            </w:pPr>
            <w:r>
              <w:rPr>
                <w:rFonts w:hint="default" w:ascii="Times New Roman" w:hAnsi="Times New Roman"/>
                <w:b/>
                <w:bCs w:val="0"/>
                <w:color w:val="000000" w:themeColor="text1"/>
                <w:lang w:val="en-US" w:eastAsia="zh-CN"/>
                <w14:textFill>
                  <w14:solidFill>
                    <w14:schemeClr w14:val="tx1"/>
                  </w14:solidFill>
                </w14:textFill>
              </w:rPr>
              <w:t>（七）社会性</w:t>
            </w:r>
          </w:p>
          <w:p w14:paraId="11BFDFE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院外急救工作范围超出了医疗领域，要与社会各界打交道，如家属、事件目击者、围观者、警察、记者、犯罪嫌疑人等。急救人员应及时向有关人员如实交代病情，努力做好解释、安慰工作，尽量满足人们的合理要求，赢得理解、信任、支持与合作。要求急救人员具备一定的社会经验、良好的心理素质、较强的人际沟通能力和应变能力。</w:t>
            </w:r>
          </w:p>
          <w:p w14:paraId="18CBC7D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bCs w:val="0"/>
                <w:color w:val="000000" w:themeColor="text1"/>
                <w:lang w:val="en-US" w:eastAsia="zh-CN"/>
                <w14:textFill>
                  <w14:solidFill>
                    <w14:schemeClr w14:val="tx1"/>
                  </w14:solidFill>
                </w14:textFill>
              </w:rPr>
              <w:t>三、院外急救的任务</w:t>
            </w:r>
          </w:p>
          <w:p w14:paraId="3DA24E6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院外急救总的任务是采取及时有效的急救措施和技术，最大限度地减轻患者的痛苦，降低致残率，减少病死率，为院内抢救打好基础。</w:t>
            </w:r>
          </w:p>
          <w:p w14:paraId="14573C7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default" w:ascii="Times New Roman" w:hAnsi="Times New Roman"/>
                <w:b/>
                <w:bCs w:val="0"/>
                <w:color w:val="000000" w:themeColor="text1"/>
                <w:lang w:val="en-US" w:eastAsia="zh-CN"/>
                <w14:textFill>
                  <w14:solidFill>
                    <w14:schemeClr w14:val="tx1"/>
                  </w14:solidFill>
                </w14:textFill>
              </w:rPr>
            </w:pPr>
            <w:r>
              <w:rPr>
                <w:rFonts w:hint="default" w:ascii="Times New Roman" w:hAnsi="Times New Roman"/>
                <w:b/>
                <w:bCs w:val="0"/>
                <w:color w:val="000000" w:themeColor="text1"/>
                <w:lang w:val="en-US" w:eastAsia="zh-CN"/>
                <w14:textFill>
                  <w14:solidFill>
                    <w14:schemeClr w14:val="tx1"/>
                  </w14:solidFill>
                </w14:textFill>
              </w:rPr>
              <w:t>（一）日常对呼救的救护</w:t>
            </w:r>
          </w:p>
          <w:p w14:paraId="7F07F52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救护院外呼救是急救中心（站）的主要和经常性任务。院外呼救一般分为两类：第一类是如窒息、心肌梗死、猝死、大出血、严重创伤等短时间内有生命危险的危急重症，占呼救者的 10%～15%。第一类呼救必须在现场紧急处理，如畅通气道、心肺脑复苏、止血等，以挽救生命或维持生命功能稳定后再在监护下转运医院。第二类是如骨折、急腹症、急产、支气管哮喘发作等病情紧急但短时间内无生命危险的急诊，占呼救的 85%～90%。对此类现场处理主要目的在于稳定病情、减轻痛苦、安全转送和避免并发症的发生，如骨折先固定再转送。</w:t>
            </w:r>
          </w:p>
          <w:p w14:paraId="5357FA0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default" w:ascii="Times New Roman" w:hAnsi="Times New Roman"/>
                <w:b/>
                <w:bCs w:val="0"/>
                <w:color w:val="000000" w:themeColor="text1"/>
                <w:lang w:val="en-US" w:eastAsia="zh-CN"/>
                <w14:textFill>
                  <w14:solidFill>
                    <w14:schemeClr w14:val="tx1"/>
                  </w14:solidFill>
                </w14:textFill>
              </w:rPr>
            </w:pPr>
            <w:r>
              <w:rPr>
                <w:rFonts w:hint="default" w:ascii="Times New Roman" w:hAnsi="Times New Roman"/>
                <w:b/>
                <w:bCs w:val="0"/>
                <w:color w:val="000000" w:themeColor="text1"/>
                <w:lang w:val="en-US" w:eastAsia="zh-CN"/>
                <w14:textFill>
                  <w14:solidFill>
                    <w14:schemeClr w14:val="tx1"/>
                  </w14:solidFill>
                </w14:textFill>
              </w:rPr>
              <w:t>（二）灾害、事故或战争中的院外急救</w:t>
            </w:r>
          </w:p>
          <w:p w14:paraId="601B325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在自然灾害和人为灾害中，伤者多、伤情重、情况复杂，救护人员应根据现场实际情况认真执行有关抢救预案，与消防、公安、交通等其他救灾部门密切配合，同时应注意自身的安全。无预案时需要加强对现场患者的分类和救护，并根据不同情况进行合理分流和转送。不能转运的危重患者可就地搭建手术棚，术后再安全转运。</w:t>
            </w:r>
          </w:p>
          <w:p w14:paraId="4F7CCC2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default" w:ascii="Times New Roman" w:hAnsi="Times New Roman"/>
                <w:b/>
                <w:bCs w:val="0"/>
                <w:color w:val="000000" w:themeColor="text1"/>
                <w:lang w:val="en-US" w:eastAsia="zh-CN"/>
                <w14:textFill>
                  <w14:solidFill>
                    <w14:schemeClr w14:val="tx1"/>
                  </w14:solidFill>
                </w14:textFill>
              </w:rPr>
            </w:pPr>
            <w:r>
              <w:rPr>
                <w:rFonts w:hint="default" w:ascii="Times New Roman" w:hAnsi="Times New Roman"/>
                <w:b/>
                <w:bCs w:val="0"/>
                <w:color w:val="000000" w:themeColor="text1"/>
                <w:lang w:val="en-US" w:eastAsia="zh-CN"/>
                <w14:textFill>
                  <w14:solidFill>
                    <w14:schemeClr w14:val="tx1"/>
                  </w14:solidFill>
                </w14:textFill>
              </w:rPr>
              <w:t>（三）特殊救护值班任务</w:t>
            </w:r>
          </w:p>
          <w:p w14:paraId="28F1129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特殊救护值班任务是指为大型集会、体育活动、重要会议及外国元首或重要来宾来访时的救护值班。执行任务时急救系统应该处于一级战备状态，急救人员要坚守岗位、妥善准备、周密布置，随时应付可能出现的各种意外事件。</w:t>
            </w:r>
          </w:p>
          <w:p w14:paraId="65E6D56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default" w:ascii="Times New Roman" w:hAnsi="Times New Roman"/>
                <w:b/>
                <w:bCs w:val="0"/>
                <w:color w:val="000000" w:themeColor="text1"/>
                <w:lang w:val="en-US" w:eastAsia="zh-CN"/>
                <w14:textFill>
                  <w14:solidFill>
                    <w14:schemeClr w14:val="tx1"/>
                  </w14:solidFill>
                </w14:textFill>
              </w:rPr>
            </w:pPr>
            <w:r>
              <w:rPr>
                <w:rFonts w:hint="default" w:ascii="Times New Roman" w:hAnsi="Times New Roman"/>
                <w:b/>
                <w:bCs w:val="0"/>
                <w:color w:val="000000" w:themeColor="text1"/>
                <w:lang w:val="en-US" w:eastAsia="zh-CN"/>
                <w14:textFill>
                  <w14:solidFill>
                    <w14:schemeClr w14:val="tx1"/>
                  </w14:solidFill>
                </w14:textFill>
              </w:rPr>
              <w:t>（四）通信网络中心的枢纽任务</w:t>
            </w:r>
          </w:p>
          <w:p w14:paraId="076BFE6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急救通信网络有三方面：一是市民和急救中心的联络；二是急救中心与所属分站、救护车、急救医院（即 EMSS 内部）的联络；三是急救中心与上级领导、卫生行政部门和其他救灾系统的联络。急救通信网络在整个急救过程中不但承担着急救信息的接收任务，而且还承担着传递信息、指挥调度及与上级领导、急救指挥中心、急救现场、急救车、医院急诊科的联络，起承上启下、沟通信息的枢纽作用。</w:t>
            </w:r>
          </w:p>
          <w:p w14:paraId="4125535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default" w:ascii="Times New Roman" w:hAnsi="Times New Roman"/>
                <w:b/>
                <w:bCs w:val="0"/>
                <w:color w:val="000000" w:themeColor="text1"/>
                <w:lang w:val="en-US" w:eastAsia="zh-CN"/>
                <w14:textFill>
                  <w14:solidFill>
                    <w14:schemeClr w14:val="tx1"/>
                  </w14:solidFill>
                </w14:textFill>
              </w:rPr>
            </w:pPr>
            <w:r>
              <w:rPr>
                <w:rFonts w:hint="default" w:ascii="Times New Roman" w:hAnsi="Times New Roman"/>
                <w:b/>
                <w:bCs w:val="0"/>
                <w:color w:val="000000" w:themeColor="text1"/>
                <w:lang w:val="en-US" w:eastAsia="zh-CN"/>
                <w14:textFill>
                  <w14:solidFill>
                    <w14:schemeClr w14:val="tx1"/>
                  </w14:solidFill>
                </w14:textFill>
              </w:rPr>
              <w:t>（五）急救知识的普及</w:t>
            </w:r>
          </w:p>
          <w:p w14:paraId="59804CB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院外急救的成功率和公民的自我保护意识、自救与互救的能力相关。因此，全社会应大力普及急救知识，让公民在突发现场成为能开展现场救护的“第一目击者”，赢得抢救时间，达到“挽救生命，减轻伤残”的目的。平时可通过广播、电视、报刊、网络、社区宣传栏进行教育宣传，以及举办各种急救知识与救护技术培训班，提高与普及全民自救互救水平。</w:t>
            </w:r>
          </w:p>
          <w:p w14:paraId="2166EBB6">
            <w:pPr>
              <w:keepNext w:val="0"/>
              <w:keepLines w:val="0"/>
              <w:widowControl w:val="0"/>
              <w:suppressLineNumbers w:val="0"/>
              <w:autoSpaceDE w:val="0"/>
              <w:autoSpaceDN/>
              <w:spacing w:before="0" w:beforeAutospacing="0" w:after="0" w:afterAutospacing="0" w:line="360" w:lineRule="auto"/>
              <w:ind w:left="0" w:right="0"/>
              <w:jc w:val="left"/>
              <w:rPr>
                <w:rFonts w:hint="default" w:ascii="Times New Roman" w:hAnsi="Times New Roman"/>
                <w:b/>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l2br w:val="nil"/>
              <w:tr2bl w:val="nil"/>
            </w:tcBorders>
            <w:vAlign w:val="center"/>
          </w:tcPr>
          <w:p w14:paraId="0E3D754D">
            <w:pPr>
              <w:keepNext w:val="0"/>
              <w:keepLines w:val="0"/>
              <w:suppressLineNumbers w:val="0"/>
              <w:spacing w:before="0" w:beforeAutospacing="0" w:after="0" w:afterAutospacing="0" w:line="360" w:lineRule="auto"/>
              <w:ind w:left="0" w:right="0"/>
              <w:jc w:val="left"/>
              <w:rPr>
                <w:rFonts w:hint="default" w:ascii="Times New Roman" w:hAnsi="Times New Roman"/>
                <w:b/>
                <w:szCs w:val="20"/>
              </w:rPr>
            </w:pPr>
            <w:r>
              <w:rPr>
                <w:rFonts w:hint="eastAsia" w:ascii="Times New Roman" w:hAnsi="Times New Roman"/>
                <w:b/>
                <w:szCs w:val="24"/>
                <w:lang w:val="en-US" w:eastAsia="zh-CN"/>
              </w:rPr>
              <w:t>展示概述（一）</w:t>
            </w:r>
            <w:r>
              <w:rPr>
                <w:rFonts w:hint="eastAsia" w:ascii="Times New Roman" w:hAnsi="Times New Roman"/>
                <w:b/>
                <w:szCs w:val="24"/>
              </w:rPr>
              <w:t>，</w:t>
            </w:r>
            <w:r>
              <w:rPr>
                <w:rFonts w:hint="eastAsia" w:ascii="Times New Roman" w:hAnsi="Times New Roman"/>
                <w:b/>
                <w:szCs w:val="24"/>
                <w:lang w:eastAsia="zh-CN"/>
              </w:rPr>
              <w:t>让学生更加仔细的阅读，从而</w:t>
            </w:r>
            <w:r>
              <w:rPr>
                <w:rFonts w:hint="eastAsia" w:ascii="Times New Roman" w:hAnsi="Times New Roman"/>
                <w:b/>
                <w:szCs w:val="24"/>
              </w:rPr>
              <w:t>激发学生的学习欲望。</w:t>
            </w:r>
          </w:p>
        </w:tc>
      </w:tr>
      <w:tr w14:paraId="699E56BD">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7FC8460A">
            <w:pPr>
              <w:keepNext w:val="0"/>
              <w:keepLines w:val="0"/>
              <w:suppressLineNumbers w:val="0"/>
              <w:spacing w:before="0" w:beforeAutospacing="0" w:after="0" w:afterAutospacing="0" w:line="264" w:lineRule="auto"/>
              <w:ind w:left="0" w:right="0" w:hanging="8"/>
              <w:jc w:val="center"/>
              <w:rPr>
                <w:rFonts w:hint="default" w:ascii="Times New Roman" w:hAnsi="Times New Roman"/>
                <w:szCs w:val="24"/>
              </w:rPr>
            </w:pPr>
            <w:r>
              <w:rPr>
                <w:rFonts w:hint="eastAsia" w:ascii="微软雅黑" w:hAnsi="微软雅黑" w:eastAsia="微软雅黑"/>
                <w:b/>
                <w:sz w:val="24"/>
                <w:szCs w:val="24"/>
                <w:lang w:eastAsia="zh-CN"/>
              </w:rPr>
              <w:t>作业布置</w:t>
            </w:r>
            <w:r>
              <w:rPr>
                <w:rFonts w:hint="eastAsia" w:ascii="Times New Roman" w:hAnsi="Times New Roman"/>
                <w:b w:val="0"/>
                <w:bCs w:val="0"/>
                <w:szCs w:val="24"/>
              </w:rPr>
              <w:t>（</w:t>
            </w:r>
            <w:r>
              <w:rPr>
                <w:rFonts w:hint="eastAsia" w:ascii="Times New Roman" w:hAnsi="Times New Roman"/>
                <w:b w:val="0"/>
                <w:bCs w:val="0"/>
                <w:szCs w:val="24"/>
                <w:lang w:val="en-US" w:eastAsia="zh-CN"/>
              </w:rPr>
              <w:t>3</w:t>
            </w:r>
            <w:r>
              <w:rPr>
                <w:rFonts w:hint="eastAsia" w:ascii="Times New Roman" w:hAnsi="Times New Roman"/>
                <w:b w:val="0"/>
                <w:bCs w:val="0"/>
                <w:szCs w:val="24"/>
              </w:rPr>
              <w:t>min）</w:t>
            </w:r>
          </w:p>
        </w:tc>
        <w:tc>
          <w:tcPr>
            <w:tcW w:w="5807" w:type="dxa"/>
            <w:tcBorders>
              <w:tl2br w:val="nil"/>
              <w:tr2bl w:val="nil"/>
            </w:tcBorders>
            <w:vAlign w:val="center"/>
          </w:tcPr>
          <w:p w14:paraId="7A75294B">
            <w:pPr>
              <w:keepNext w:val="0"/>
              <w:keepLines w:val="0"/>
              <w:suppressLineNumbers w:val="0"/>
              <w:spacing w:before="0" w:beforeAutospacing="0" w:after="0" w:afterAutospacing="0" w:line="360" w:lineRule="auto"/>
              <w:ind w:left="0" w:right="0"/>
              <w:rPr>
                <w:rFonts w:hint="eastAsia" w:ascii="宋体" w:hAnsi="宋体" w:eastAsia="宋体" w:cs="宋体"/>
                <w:b w:val="0"/>
                <w:bCs/>
                <w:color w:val="C00000"/>
                <w:kern w:val="2"/>
                <w:sz w:val="21"/>
                <w:szCs w:val="21"/>
                <w:lang w:val="en-US" w:eastAsia="zh-CN" w:bidi="ar"/>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布置课后作业</w:t>
            </w:r>
          </w:p>
          <w:p w14:paraId="1403F243">
            <w:pPr>
              <w:keepNext w:val="0"/>
              <w:keepLines w:val="0"/>
              <w:suppressLineNumbers w:val="0"/>
              <w:spacing w:before="0" w:beforeAutospacing="0" w:after="0" w:afterAutospacing="0" w:line="360" w:lineRule="auto"/>
              <w:ind w:left="0" w:right="0" w:firstLine="420" w:firstLineChars="200"/>
              <w:rPr>
                <w:rFonts w:hint="eastAsia" w:hAnsi="宋体" w:eastAsia="宋体"/>
                <w:bCs/>
                <w:lang w:eastAsia="zh-CN"/>
              </w:rPr>
            </w:pPr>
            <w:r>
              <w:rPr>
                <w:rFonts w:hint="eastAsia" w:hAnsi="宋体"/>
                <w:bCs/>
                <w:lang w:val="en-US" w:eastAsia="zh-CN"/>
              </w:rPr>
              <w:t>简述</w:t>
            </w:r>
            <w:r>
              <w:rPr>
                <w:rFonts w:hint="eastAsia" w:hAnsi="宋体"/>
                <w:bCs/>
                <w:lang w:eastAsia="zh-CN"/>
              </w:rPr>
              <w:t>日常对呼救的救护。</w:t>
            </w:r>
          </w:p>
        </w:tc>
        <w:tc>
          <w:tcPr>
            <w:tcW w:w="1366" w:type="dxa"/>
            <w:tcBorders>
              <w:tl2br w:val="nil"/>
              <w:tr2bl w:val="nil"/>
            </w:tcBorders>
            <w:vAlign w:val="center"/>
          </w:tcPr>
          <w:p w14:paraId="5A47D6D6">
            <w:pPr>
              <w:keepNext w:val="0"/>
              <w:keepLines w:val="0"/>
              <w:suppressLineNumbers w:val="0"/>
              <w:spacing w:before="0" w:beforeAutospacing="0" w:after="0" w:afterAutospacing="0" w:line="360" w:lineRule="auto"/>
              <w:ind w:left="0" w:right="0"/>
              <w:jc w:val="left"/>
              <w:rPr>
                <w:rFonts w:hint="eastAsia" w:ascii="Times New Roman" w:hAnsi="Times New Roman"/>
                <w:b/>
                <w:szCs w:val="24"/>
              </w:rPr>
            </w:pPr>
            <w:r>
              <w:rPr>
                <w:rFonts w:hint="eastAsia" w:ascii="Times New Roman" w:hAnsi="Times New Roman"/>
                <w:b w:val="0"/>
                <w:bCs/>
                <w:szCs w:val="24"/>
              </w:rPr>
              <w:t>通过课后练习，使学生巩固所学新知识</w:t>
            </w:r>
          </w:p>
        </w:tc>
      </w:tr>
      <w:tr w14:paraId="60C8EAEF">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527DAE9E">
            <w:pPr>
              <w:keepNext w:val="0"/>
              <w:keepLines w:val="0"/>
              <w:suppressLineNumbers w:val="0"/>
              <w:spacing w:before="0" w:beforeAutospacing="0" w:after="0" w:afterAutospacing="0" w:line="264" w:lineRule="auto"/>
              <w:ind w:left="0" w:right="0"/>
              <w:jc w:val="center"/>
              <w:rPr>
                <w:rFonts w:hint="eastAsia" w:ascii="微软雅黑" w:hAnsi="微软雅黑" w:eastAsia="微软雅黑"/>
                <w:b/>
                <w:sz w:val="24"/>
                <w:szCs w:val="24"/>
                <w:lang w:eastAsia="zh-CN"/>
              </w:rPr>
            </w:pPr>
            <w:r>
              <w:rPr>
                <w:rFonts w:hint="eastAsia" w:ascii="微软雅黑" w:hAnsi="微软雅黑" w:eastAsia="微软雅黑"/>
                <w:b/>
                <w:sz w:val="24"/>
                <w:szCs w:val="24"/>
                <w:lang w:eastAsia="zh-CN"/>
              </w:rPr>
              <w:t>知识讲解</w:t>
            </w:r>
          </w:p>
          <w:p w14:paraId="4927EBF6">
            <w:pPr>
              <w:keepNext w:val="0"/>
              <w:keepLines w:val="0"/>
              <w:suppressLineNumbers w:val="0"/>
              <w:spacing w:before="0" w:beforeAutospacing="0" w:after="0" w:afterAutospacing="0" w:line="264" w:lineRule="auto"/>
              <w:ind w:left="0" w:right="0" w:hanging="8"/>
              <w:jc w:val="center"/>
              <w:rPr>
                <w:rFonts w:hint="default" w:ascii="Times New Roman" w:hAnsi="Times New Roman"/>
                <w:b/>
                <w:szCs w:val="24"/>
              </w:rPr>
            </w:pPr>
            <w:r>
              <w:rPr>
                <w:rFonts w:hint="default" w:ascii="Times New Roman" w:hAnsi="Times New Roman"/>
                <w:szCs w:val="24"/>
              </w:rPr>
              <w:t>（40</w:t>
            </w:r>
            <w:r>
              <w:rPr>
                <w:rFonts w:hint="eastAsia" w:ascii="Times New Roman" w:hAnsi="Times New Roman"/>
                <w:szCs w:val="24"/>
              </w:rPr>
              <w:t>min）</w:t>
            </w:r>
          </w:p>
        </w:tc>
        <w:tc>
          <w:tcPr>
            <w:tcW w:w="5807" w:type="dxa"/>
            <w:tcBorders>
              <w:tl2br w:val="nil"/>
              <w:tr2bl w:val="nil"/>
            </w:tcBorders>
            <w:vAlign w:val="center"/>
          </w:tcPr>
          <w:p w14:paraId="5D30499D">
            <w:pPr>
              <w:keepNext w:val="0"/>
              <w:keepLines w:val="0"/>
              <w:widowControl w:val="0"/>
              <w:suppressLineNumbers w:val="0"/>
              <w:spacing w:before="0" w:beforeAutospacing="0" w:after="0" w:afterAutospacing="0" w:line="360" w:lineRule="auto"/>
              <w:ind w:left="0" w:right="0"/>
              <w:jc w:val="both"/>
              <w:rPr>
                <w:rFonts w:hint="default" w:ascii="宋体" w:hAnsi="宋体" w:cs="宋体"/>
                <w:b/>
                <w:bCs w:val="0"/>
                <w:color w:val="000000"/>
                <w:kern w:val="2"/>
                <w:sz w:val="21"/>
                <w:szCs w:val="21"/>
                <w:lang w:val="en-US" w:eastAsia="zh-CN" w:bidi="ar"/>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展示概述（</w:t>
            </w:r>
            <w:r>
              <w:rPr>
                <w:rFonts w:hint="eastAsia" w:ascii="宋体" w:hAnsi="宋体" w:cs="宋体"/>
                <w:b w:val="0"/>
                <w:bCs/>
                <w:color w:val="C00000"/>
                <w:kern w:val="2"/>
                <w:sz w:val="21"/>
                <w:szCs w:val="21"/>
                <w:lang w:val="en-US" w:eastAsia="zh-CN" w:bidi="ar"/>
              </w:rPr>
              <w:t>二</w:t>
            </w:r>
            <w:r>
              <w:rPr>
                <w:rFonts w:hint="eastAsia" w:ascii="宋体" w:hAnsi="宋体" w:eastAsia="宋体" w:cs="宋体"/>
                <w:b w:val="0"/>
                <w:bCs/>
                <w:color w:val="C00000"/>
                <w:kern w:val="2"/>
                <w:sz w:val="21"/>
                <w:szCs w:val="21"/>
                <w:lang w:val="en-US" w:eastAsia="zh-CN" w:bidi="ar"/>
              </w:rPr>
              <w:t>）</w:t>
            </w:r>
          </w:p>
          <w:p w14:paraId="4D2DD818">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2"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bCs w:val="0"/>
                <w:color w:val="000000"/>
                <w:kern w:val="2"/>
                <w:sz w:val="21"/>
                <w:szCs w:val="21"/>
                <w:lang w:val="en-US" w:eastAsia="zh-CN" w:bidi="ar"/>
              </w:rPr>
              <w:t>四、院外急救的原则</w:t>
            </w:r>
          </w:p>
          <w:p w14:paraId="0E569F1D">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2"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bCs w:val="0"/>
                <w:color w:val="000000"/>
                <w:kern w:val="2"/>
                <w:sz w:val="21"/>
                <w:szCs w:val="21"/>
                <w:lang w:val="en-US" w:eastAsia="zh-CN" w:bidi="ar"/>
              </w:rPr>
              <w:t>（一）先排险后施救</w:t>
            </w:r>
          </w:p>
          <w:p w14:paraId="5F8FE57B">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施救前，应先对现场环境的危险程度进行评估，排除不安全因素后再施救，或者先帮助患者脱离危险区后再施救。如触电，应先切断电源后再进行救护；对有害气体造成的中毒现场，应先将其脱离险区再进行救护，以保证救护者和被救患者的安全。</w:t>
            </w:r>
          </w:p>
          <w:p w14:paraId="56F1ED74">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2"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bCs w:val="0"/>
                <w:color w:val="000000"/>
                <w:kern w:val="2"/>
                <w:sz w:val="21"/>
                <w:szCs w:val="21"/>
                <w:lang w:val="en-US" w:eastAsia="zh-CN" w:bidi="ar"/>
              </w:rPr>
              <w:t>（二）先重伤后轻伤</w:t>
            </w:r>
          </w:p>
          <w:p w14:paraId="72C29DD4">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bCs w:val="0"/>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现场急救应优先处理可能危及生命的严重情况，患者较多时，应先抢救危重者，后抢救较轻者。但在时间、人力、物力有限的情况下，遵循“先重后轻”原则的同时，重点抢救有可能存活的急危重症。</w:t>
            </w:r>
          </w:p>
          <w:p w14:paraId="0DE22B25">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2" w:firstLineChars="200"/>
              <w:jc w:val="both"/>
              <w:textAlignment w:val="auto"/>
              <w:rPr>
                <w:rFonts w:hint="default" w:ascii="宋体" w:hAnsi="宋体" w:eastAsia="宋体" w:cs="宋体"/>
                <w:b/>
                <w:bCs w:val="0"/>
                <w:color w:val="000000"/>
                <w:kern w:val="2"/>
                <w:sz w:val="21"/>
                <w:szCs w:val="21"/>
                <w:lang w:val="en-US" w:eastAsia="zh-CN" w:bidi="ar"/>
              </w:rPr>
            </w:pPr>
            <w:r>
              <w:rPr>
                <w:rFonts w:hint="default" w:ascii="宋体" w:hAnsi="宋体" w:eastAsia="宋体" w:cs="宋体"/>
                <w:b/>
                <w:bCs w:val="0"/>
                <w:color w:val="000000"/>
                <w:kern w:val="2"/>
                <w:sz w:val="21"/>
                <w:szCs w:val="21"/>
                <w:lang w:val="en-US" w:eastAsia="zh-CN" w:bidi="ar"/>
              </w:rPr>
              <w:t>（三）先复苏后固定</w:t>
            </w:r>
          </w:p>
          <w:p w14:paraId="53E0D84B">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如有心搏骤停伴骨折的患者，应先进行心肺脑复苏，待心搏恢复后再进行骨折的固定。</w:t>
            </w:r>
          </w:p>
          <w:p w14:paraId="2B18A962">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2" w:firstLineChars="200"/>
              <w:jc w:val="both"/>
              <w:textAlignment w:val="auto"/>
              <w:rPr>
                <w:rFonts w:hint="default" w:ascii="宋体" w:hAnsi="宋体" w:eastAsia="宋体" w:cs="宋体"/>
                <w:b/>
                <w:bCs w:val="0"/>
                <w:color w:val="000000"/>
                <w:kern w:val="2"/>
                <w:sz w:val="21"/>
                <w:szCs w:val="21"/>
                <w:lang w:val="en-US" w:eastAsia="zh-CN" w:bidi="ar"/>
              </w:rPr>
            </w:pPr>
            <w:r>
              <w:rPr>
                <w:rFonts w:hint="default" w:ascii="宋体" w:hAnsi="宋体" w:eastAsia="宋体" w:cs="宋体"/>
                <w:b/>
                <w:bCs w:val="0"/>
                <w:color w:val="000000"/>
                <w:kern w:val="2"/>
                <w:sz w:val="21"/>
                <w:szCs w:val="21"/>
                <w:lang w:val="en-US" w:eastAsia="zh-CN" w:bidi="ar"/>
              </w:rPr>
              <w:t>（四）先止血后包扎</w:t>
            </w:r>
          </w:p>
          <w:p w14:paraId="6E6CD2DD">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如遇有大出血又有创口者，首先立即用指压、止血带或药物等方法止血，再消毒包扎。</w:t>
            </w:r>
          </w:p>
          <w:p w14:paraId="1FF2DF2A">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2" w:firstLineChars="200"/>
              <w:jc w:val="both"/>
              <w:textAlignment w:val="auto"/>
              <w:rPr>
                <w:rFonts w:hint="default" w:ascii="宋体" w:hAnsi="宋体" w:eastAsia="宋体" w:cs="宋体"/>
                <w:b/>
                <w:bCs w:val="0"/>
                <w:color w:val="000000"/>
                <w:kern w:val="2"/>
                <w:sz w:val="21"/>
                <w:szCs w:val="21"/>
                <w:lang w:val="en-US" w:eastAsia="zh-CN" w:bidi="ar"/>
              </w:rPr>
            </w:pPr>
            <w:r>
              <w:rPr>
                <w:rFonts w:hint="default" w:ascii="宋体" w:hAnsi="宋体" w:eastAsia="宋体" w:cs="宋体"/>
                <w:b/>
                <w:bCs w:val="0"/>
                <w:color w:val="000000"/>
                <w:kern w:val="2"/>
                <w:sz w:val="21"/>
                <w:szCs w:val="21"/>
                <w:lang w:val="en-US" w:eastAsia="zh-CN" w:bidi="ar"/>
              </w:rPr>
              <w:t>（五）先施救后运送</w:t>
            </w:r>
          </w:p>
          <w:p w14:paraId="57E0539A">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指对垂危重伤，先进行现场初步紧急处理后，才可在医疗监护下转运至医院，以免耽误宝贵的救治时间，急救时间越短，存活率越高。</w:t>
            </w:r>
          </w:p>
          <w:p w14:paraId="39E6420C">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2" w:firstLineChars="200"/>
              <w:jc w:val="both"/>
              <w:textAlignment w:val="auto"/>
              <w:rPr>
                <w:rFonts w:hint="default" w:ascii="宋体" w:hAnsi="宋体" w:eastAsia="宋体" w:cs="宋体"/>
                <w:b/>
                <w:bCs w:val="0"/>
                <w:color w:val="000000"/>
                <w:kern w:val="2"/>
                <w:sz w:val="21"/>
                <w:szCs w:val="21"/>
                <w:lang w:val="en-US" w:eastAsia="zh-CN" w:bidi="ar"/>
              </w:rPr>
            </w:pPr>
            <w:r>
              <w:rPr>
                <w:rFonts w:hint="default" w:ascii="宋体" w:hAnsi="宋体" w:eastAsia="宋体" w:cs="宋体"/>
                <w:b/>
                <w:bCs w:val="0"/>
                <w:color w:val="000000"/>
                <w:kern w:val="2"/>
                <w:sz w:val="21"/>
                <w:szCs w:val="21"/>
                <w:lang w:val="en-US" w:eastAsia="zh-CN" w:bidi="ar"/>
              </w:rPr>
              <w:t>（六）急救与呼救并重</w:t>
            </w:r>
          </w:p>
          <w:p w14:paraId="1B99A358">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有多人在现场时，应急救与呼救同时进行，以尽快得到外援。只有一人的情况下，应先施救，再在短时间内进行电话呼救。</w:t>
            </w:r>
          </w:p>
          <w:p w14:paraId="1BFC71F8">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2" w:firstLineChars="200"/>
              <w:jc w:val="both"/>
              <w:textAlignment w:val="auto"/>
              <w:rPr>
                <w:rFonts w:hint="default" w:ascii="宋体" w:hAnsi="宋体" w:eastAsia="宋体" w:cs="宋体"/>
                <w:b/>
                <w:bCs w:val="0"/>
                <w:color w:val="000000"/>
                <w:kern w:val="2"/>
                <w:sz w:val="21"/>
                <w:szCs w:val="21"/>
                <w:lang w:val="en-US" w:eastAsia="zh-CN" w:bidi="ar"/>
              </w:rPr>
            </w:pPr>
            <w:r>
              <w:rPr>
                <w:rFonts w:hint="default" w:ascii="宋体" w:hAnsi="宋体" w:eastAsia="宋体" w:cs="宋体"/>
                <w:b/>
                <w:bCs w:val="0"/>
                <w:color w:val="000000"/>
                <w:kern w:val="2"/>
                <w:sz w:val="21"/>
                <w:szCs w:val="21"/>
                <w:lang w:val="en-US" w:eastAsia="zh-CN" w:bidi="ar"/>
              </w:rPr>
              <w:t>（七）转运与监护急救相结合</w:t>
            </w:r>
          </w:p>
          <w:p w14:paraId="0830FA4A">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转运途中要密切观察监护病情，必要时进行相应的急救处理，如除颤、气管插管、心肺脑复苏等，以使其安全到达目的地。</w:t>
            </w:r>
          </w:p>
          <w:p w14:paraId="014A1FA8">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2" w:firstLineChars="200"/>
              <w:jc w:val="both"/>
              <w:textAlignment w:val="auto"/>
              <w:rPr>
                <w:rFonts w:hint="default" w:ascii="宋体" w:hAnsi="宋体" w:eastAsia="宋体" w:cs="宋体"/>
                <w:b/>
                <w:bCs w:val="0"/>
                <w:color w:val="000000"/>
                <w:kern w:val="2"/>
                <w:sz w:val="21"/>
                <w:szCs w:val="21"/>
                <w:lang w:val="en-US" w:eastAsia="zh-CN" w:bidi="ar"/>
              </w:rPr>
            </w:pPr>
            <w:r>
              <w:rPr>
                <w:rFonts w:hint="default" w:ascii="宋体" w:hAnsi="宋体" w:eastAsia="宋体" w:cs="宋体"/>
                <w:b/>
                <w:bCs w:val="0"/>
                <w:color w:val="000000"/>
                <w:kern w:val="2"/>
                <w:sz w:val="21"/>
                <w:szCs w:val="21"/>
                <w:lang w:val="en-US" w:eastAsia="zh-CN" w:bidi="ar"/>
              </w:rPr>
              <w:t>五、院外急救组织形式</w:t>
            </w:r>
          </w:p>
          <w:p w14:paraId="0E1DE5C2">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不同国家、不同城市建立的急诊医疗服务体系（EMSS）具有不同的特色，我国的院外急救组织管理形式主要有以下城市特点。</w:t>
            </w:r>
          </w:p>
          <w:p w14:paraId="38D907B0">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2" w:firstLineChars="200"/>
              <w:jc w:val="both"/>
              <w:textAlignment w:val="auto"/>
              <w:rPr>
                <w:rFonts w:hint="default" w:ascii="宋体" w:hAnsi="宋体" w:eastAsia="宋体" w:cs="宋体"/>
                <w:b/>
                <w:bCs w:val="0"/>
                <w:color w:val="000000"/>
                <w:kern w:val="2"/>
                <w:sz w:val="21"/>
                <w:szCs w:val="21"/>
                <w:lang w:val="en-US" w:eastAsia="zh-CN" w:bidi="ar"/>
              </w:rPr>
            </w:pPr>
            <w:r>
              <w:rPr>
                <w:rFonts w:hint="default" w:ascii="宋体" w:hAnsi="宋体" w:eastAsia="宋体" w:cs="宋体"/>
                <w:b/>
                <w:bCs w:val="0"/>
                <w:color w:val="000000"/>
                <w:kern w:val="2"/>
                <w:sz w:val="21"/>
                <w:szCs w:val="21"/>
                <w:lang w:val="en-US" w:eastAsia="zh-CN" w:bidi="ar"/>
              </w:rPr>
              <w:t>（一）北京模式（独立型）</w:t>
            </w:r>
          </w:p>
          <w:p w14:paraId="11104CAA">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建设的是一种综合自主形式的急救中心。由指挥调度科、院外急救科、院内急诊科、重症监护室、住院病房构成。急救中心拥有现代化的调度通信设备，可以和市政府、卫生局、北京各大医院直接进行通信联系，是院外急救和重大急救医疗任务的统一指挥、调度和抢救中心，是个“大而全”的模式。其流程是：家属或现场目击者通过 120 电话向市急救中心呼救，中心调度室派出车、人到现场急救，然后监护转运到急救中心或附近医院继续治疗。但由于未能充分利用其他医院的急救资源，需要巨额资金和大量人力来完善急救指挥系统和急救网络。</w:t>
            </w:r>
          </w:p>
          <w:p w14:paraId="4409575B">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2" w:firstLineChars="200"/>
              <w:jc w:val="both"/>
              <w:textAlignment w:val="auto"/>
              <w:rPr>
                <w:rFonts w:hint="default" w:ascii="宋体" w:hAnsi="宋体" w:eastAsia="宋体" w:cs="宋体"/>
                <w:b/>
                <w:bCs w:val="0"/>
                <w:color w:val="000000"/>
                <w:kern w:val="2"/>
                <w:sz w:val="21"/>
                <w:szCs w:val="21"/>
                <w:lang w:val="en-US" w:eastAsia="zh-CN" w:bidi="ar"/>
              </w:rPr>
            </w:pPr>
            <w:r>
              <w:rPr>
                <w:rFonts w:hint="default" w:ascii="宋体" w:hAnsi="宋体" w:eastAsia="宋体" w:cs="宋体"/>
                <w:b/>
                <w:bCs w:val="0"/>
                <w:color w:val="000000"/>
                <w:kern w:val="2"/>
                <w:sz w:val="21"/>
                <w:szCs w:val="21"/>
                <w:lang w:val="en-US" w:eastAsia="zh-CN" w:bidi="ar"/>
              </w:rPr>
              <w:t>（二）广州模式（指挥型）</w:t>
            </w:r>
          </w:p>
          <w:p w14:paraId="46AEE71C">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由急救指挥中心作为全市急救工作的总调度，以医院急诊科为区域，按医院专科性质分片分科负责急救的模式。急救指挥中心为单纯性的指挥中心，与各医院无行政的隶属关系，但具有全市院外救护队调度指挥权，还负责与其他急救系统单位（如公安、消防、人防、血液中心、防疫站等）联系协作，以应付突发灾难事故。其流程是：家属或现场目击者通过 120 电话向市急救指挥中心呼救，接到呼救后，指挥中心立即通知该区域承担院外急救任务的医院急诊科，急诊护士接到电话指令后，按病情通知有关专科医生、护士及驾驶员赶赴现场，然后监护转运到本院继续治疗。其特点是投资少，充分利用现有的医疗资源合理安排急救半径，但由于不具备急救医疗支持力量，与各医院急诊科的协调存在一定困难。</w:t>
            </w:r>
          </w:p>
          <w:p w14:paraId="17F6E83C">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2" w:firstLineChars="200"/>
              <w:jc w:val="both"/>
              <w:textAlignment w:val="auto"/>
              <w:rPr>
                <w:rFonts w:hint="default" w:ascii="宋体" w:hAnsi="宋体" w:eastAsia="宋体" w:cs="宋体"/>
                <w:b/>
                <w:bCs w:val="0"/>
                <w:color w:val="000000"/>
                <w:kern w:val="2"/>
                <w:sz w:val="21"/>
                <w:szCs w:val="21"/>
                <w:lang w:val="en-US" w:eastAsia="zh-CN" w:bidi="ar"/>
              </w:rPr>
            </w:pPr>
            <w:r>
              <w:rPr>
                <w:rFonts w:hint="default" w:ascii="宋体" w:hAnsi="宋体" w:eastAsia="宋体" w:cs="宋体"/>
                <w:b/>
                <w:bCs w:val="0"/>
                <w:color w:val="000000"/>
                <w:kern w:val="2"/>
                <w:sz w:val="21"/>
                <w:szCs w:val="21"/>
                <w:lang w:val="en-US" w:eastAsia="zh-CN" w:bidi="ar"/>
              </w:rPr>
              <w:t>（三）上海模式（单纯型）</w:t>
            </w:r>
          </w:p>
          <w:p w14:paraId="090A672D">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由急救中心和其所属分站与该市若干协作医院紧密配合的急救模式。急救中心下设若干分站，各分站负责院外急救，院内治疗则由各协作医院负责。</w:t>
            </w:r>
          </w:p>
          <w:p w14:paraId="6C0B33D0">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其流程是：家属或现场目击者通过 120 电话向市急救指挥中心呼救，接到呼救后，中心站调度指派就近分站派车、人赶赴现场，然后监护转运到协作医院或劳保医院继续治疗。功能与广州模式相似，但人、财、物均属中心，管理起来比较容易，院外反应速度快。</w:t>
            </w:r>
          </w:p>
          <w:p w14:paraId="064A60A8">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2" w:firstLineChars="200"/>
              <w:jc w:val="both"/>
              <w:textAlignment w:val="auto"/>
              <w:rPr>
                <w:rFonts w:hint="default" w:ascii="宋体" w:hAnsi="宋体" w:eastAsia="宋体" w:cs="宋体"/>
                <w:b/>
                <w:bCs w:val="0"/>
                <w:color w:val="000000"/>
                <w:kern w:val="2"/>
                <w:sz w:val="21"/>
                <w:szCs w:val="21"/>
                <w:lang w:val="en-US" w:eastAsia="zh-CN" w:bidi="ar"/>
              </w:rPr>
            </w:pPr>
            <w:r>
              <w:rPr>
                <w:rFonts w:hint="default" w:ascii="宋体" w:hAnsi="宋体" w:eastAsia="宋体" w:cs="宋体"/>
                <w:b/>
                <w:bCs w:val="0"/>
                <w:color w:val="000000"/>
                <w:kern w:val="2"/>
                <w:sz w:val="21"/>
                <w:szCs w:val="21"/>
                <w:lang w:val="en-US" w:eastAsia="zh-CN" w:bidi="ar"/>
              </w:rPr>
              <w:t>（四）深圳模式（集散型）</w:t>
            </w:r>
          </w:p>
          <w:p w14:paraId="32208B64">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一个既依托于各大医院，又自成体系的急救医疗指挥中心。中心实行“集中受理，分区处理，就近派车”的调度原则，以各大医院急诊科为急救单位，负责大部分的出车。急救中心除平时出车外也负责重大事故的抢救。在确保了中心指挥的权威性的同时，又有较强的急救医疗支持力量。特点是既可以充分利用现有的医疗资源，又能集中财力，完善指挥调度系统，并且具有合理的抢救半径和有力的医院支持，在短期内可以形成强大的社会效益。但中心与各医院急诊科的协调管理需要不断完善。</w:t>
            </w:r>
          </w:p>
          <w:p w14:paraId="42EDB6B5">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2" w:firstLineChars="200"/>
              <w:jc w:val="both"/>
              <w:textAlignment w:val="auto"/>
              <w:rPr>
                <w:rFonts w:hint="default" w:ascii="宋体" w:hAnsi="宋体" w:eastAsia="宋体" w:cs="宋体"/>
                <w:b/>
                <w:bCs w:val="0"/>
                <w:color w:val="000000"/>
                <w:kern w:val="2"/>
                <w:sz w:val="21"/>
                <w:szCs w:val="21"/>
                <w:lang w:val="en-US" w:eastAsia="zh-CN" w:bidi="ar"/>
              </w:rPr>
            </w:pPr>
            <w:r>
              <w:rPr>
                <w:rFonts w:hint="default" w:ascii="宋体" w:hAnsi="宋体" w:eastAsia="宋体" w:cs="宋体"/>
                <w:b/>
                <w:bCs w:val="0"/>
                <w:color w:val="000000"/>
                <w:kern w:val="2"/>
                <w:sz w:val="21"/>
                <w:szCs w:val="21"/>
                <w:lang w:val="en-US" w:eastAsia="zh-CN" w:bidi="ar"/>
              </w:rPr>
              <w:t>（五）重庆模式（依附型）</w:t>
            </w:r>
          </w:p>
          <w:p w14:paraId="25FD9DE8">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重庆模式是依托于一家综合性医院的急救中心模式，实质上是医院的一个部门。其流程是：家属或现场目击者通过 120 电话向县市急救中心呼救，接到呼救后，急救中心的院外急救部派车、人赶赴现场，然后监护转运回急救中心，由院内急救部继续治疗。特点是投资少，对院外患者处理能力较强，但指挥权威性的建立有一定困难，适宜于中小城市。</w:t>
            </w:r>
          </w:p>
          <w:p w14:paraId="330BF9D9">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2" w:firstLineChars="200"/>
              <w:jc w:val="both"/>
              <w:textAlignment w:val="auto"/>
              <w:rPr>
                <w:rFonts w:hint="default" w:ascii="宋体" w:hAnsi="宋体" w:eastAsia="宋体" w:cs="宋体"/>
                <w:b/>
                <w:bCs w:val="0"/>
                <w:color w:val="000000"/>
                <w:kern w:val="2"/>
                <w:sz w:val="21"/>
                <w:szCs w:val="21"/>
                <w:lang w:val="en-US" w:eastAsia="zh-CN" w:bidi="ar"/>
              </w:rPr>
            </w:pPr>
            <w:r>
              <w:rPr>
                <w:rFonts w:hint="default" w:ascii="宋体" w:hAnsi="宋体" w:eastAsia="宋体" w:cs="宋体"/>
                <w:b/>
                <w:bCs w:val="0"/>
                <w:color w:val="000000"/>
                <w:kern w:val="2"/>
                <w:sz w:val="21"/>
                <w:szCs w:val="21"/>
                <w:lang w:val="en-US" w:eastAsia="zh-CN" w:bidi="ar"/>
              </w:rPr>
              <w:t>（六）香港模式（消防型）</w:t>
            </w:r>
          </w:p>
          <w:p w14:paraId="64FF7670">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急救组织隶属于消防署，采用和消防、司警统一的通信网络，呼救电话为“999”，下设多个救护站，形成急救网络。可与警察、消防联合行动，遇大型事故时，还有医疗辅助队、救伤队（均为志愿团体）等参与抢救，有利于对灾难、意外事故的快速联合行动。</w:t>
            </w:r>
          </w:p>
          <w:p w14:paraId="474C450C">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上述各急救模式组织形式各有不同特点，工作效率也有一定差异。但具有共性：具有现代化灵敏的有线或无线通信设备；基本健全的急救网络，使抢救半径缩短在 5000 m 左右；给以最快速度和最高效率的院外急救，从而减少伤残率、死亡率。急救指挥系统紧急情况下的任务主要是：①指挥；②派遣；③协调；④安全护送；⑤维护良好的通信。</w:t>
            </w:r>
          </w:p>
          <w:p w14:paraId="62FFE21E">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2"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bCs w:val="0"/>
                <w:color w:val="000000"/>
                <w:kern w:val="2"/>
                <w:sz w:val="21"/>
                <w:szCs w:val="21"/>
                <w:lang w:val="en-US" w:eastAsia="zh-CN" w:bidi="ar"/>
              </w:rPr>
              <w:t>六、院外急救服务体系的设置</w:t>
            </w:r>
          </w:p>
          <w:p w14:paraId="2722601B">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院外急救的主要任务是在事故现场或发病之处即对患者进行初步救治，然后配备急救运输工具把他们安全快速地转运到医院急诊科接受进一步抢救和诊断。虽然目前全国城乡院外急救模式不同，但却有着共同的环节，如通信、运输、急救技术、急救网络、调度管理等。</w:t>
            </w:r>
          </w:p>
          <w:p w14:paraId="3B7EF961">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2" w:firstLineChars="200"/>
              <w:jc w:val="both"/>
              <w:textAlignment w:val="auto"/>
              <w:rPr>
                <w:rFonts w:hint="default" w:ascii="宋体" w:hAnsi="宋体" w:eastAsia="宋体" w:cs="宋体"/>
                <w:b/>
                <w:bCs w:val="0"/>
                <w:color w:val="000000"/>
                <w:kern w:val="2"/>
                <w:sz w:val="21"/>
                <w:szCs w:val="21"/>
                <w:lang w:val="en-US" w:eastAsia="zh-CN" w:bidi="ar"/>
              </w:rPr>
            </w:pPr>
            <w:r>
              <w:rPr>
                <w:rFonts w:hint="default" w:ascii="宋体" w:hAnsi="宋体" w:eastAsia="宋体" w:cs="宋体"/>
                <w:b/>
                <w:bCs w:val="0"/>
                <w:color w:val="000000"/>
                <w:kern w:val="2"/>
                <w:sz w:val="21"/>
                <w:szCs w:val="21"/>
                <w:lang w:val="en-US" w:eastAsia="zh-CN" w:bidi="ar"/>
              </w:rPr>
              <w:t>（一）通信</w:t>
            </w:r>
          </w:p>
          <w:p w14:paraId="06EEB0EC">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通信是院外急救最先的一环，确保在任何时间、任何地点急救通信畅通无阻是建立健全现代化急救通信网络的保证。120 急救电话畅通，每天 24 小时有专职调度人员值守；电话线光缆接入，有 60 路以上进线；能够自动记录呼救时间、自动同步录音、自动显示呼救方位和救护车的动态变化；根据呼救方位能自动推荐合适的分站。无线通信基本无盲区。</w:t>
            </w:r>
          </w:p>
          <w:p w14:paraId="58C8C04D">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（二）运输</w:t>
            </w:r>
          </w:p>
          <w:p w14:paraId="7B7B5E0D">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我国目前院外急救运输主要是救护车，保证车辆的完好状态是快速急救的重要保证。救护车分为两种：普通型和危重监护型。普通型常配备担架和转运保护用品，如普通或折叠式担架、床垫、床单、枕头、被子等；止血包扎固定用品、人工呼吸器具、手术器械；急救用的救生带、安全帽；血压计、棉签、胶布、压舌板、输液器、注射器等护理用品；消毒器具、消毒液；患者标记卡片等。危重监护型除了普通型的配备外，还有心电监护、除颤仪、起搏装置、气管插管、自动呼吸机、电动胸外心脏按压机、血氧饱和度测定仪等。原则上每 5 万～10 万人口配一辆急救车，经济实力较强区域和灾害多发区域可增加车辆比例。急救车与医护人员配编比例为 1∶5，急救车与驾驶员配编比例为 1∶5。</w:t>
            </w:r>
          </w:p>
          <w:p w14:paraId="6B79586F">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（三）急救技术</w:t>
            </w:r>
          </w:p>
          <w:p w14:paraId="067EF926">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院外急救的结果很大程度上取决于急救技术的高低。一般来说，要求院外急救人员掌握如下医疗技术：急性左心衰的抢救、急性心肌梗死的抢救、严重心律失常的抢救、大咯血的抢救、开放性气胸的抢救、呼吸衰竭的抢救、心搏骤停的抢救、消化道和各种外伤大出血的抢救、急性脑血管病的抢救、癫痫发作的抢救、烧伤的抢救、急腹症的处理、正常分娩接生术、小儿惊厥的抢救、眼外伤的抢救、鼻出血的抢救、各种休克和昏迷的抢救、各种中毒的抢救、各种传染病的转运、各种常用急救技术的操作等。</w:t>
            </w:r>
          </w:p>
          <w:p w14:paraId="7BB697E3">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（四）急救网络</w:t>
            </w:r>
          </w:p>
          <w:p w14:paraId="63F971B2">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为了保证急救网络能满足社会急救需求，必须建立以若干分站、急救中心以及行政主管部门为一体的，通信、车辆以及急救技术得到充分保证的急救网络。</w:t>
            </w:r>
          </w:p>
          <w:p w14:paraId="4440E627">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 急救中心（站）</w:t>
            </w:r>
          </w:p>
          <w:p w14:paraId="40026BE7">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急救中心（站）的设置要考虑经济合理，能创造良好的急救条件。故应设立在区域的中心地带，要求车辆出入方便，尽量靠近大型综合医院或设立在医院内。拥有 30 万以上人口的区域应设置一个院外急救中心（站），其建筑面积不应小于 1600 m2，应具备通信、运输、行政办公和急救医疗场所，各类建筑最好独立，合并在一起时应尽量减少相互干扰。必须配备有救护车、车修设备、医疗药品器材、通信设备、电脑设备、教学科技设备、生活设备等，其他可根据实际情况配置。</w:t>
            </w:r>
          </w:p>
          <w:p w14:paraId="0A32C18D">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 急救分站</w:t>
            </w:r>
          </w:p>
          <w:p w14:paraId="55E76F38">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急救分站要设置在人口密集区，交通较方便，在医院内或与医院毗邻，应该按城市医院规划点均匀地分布。其建筑面积根据实际情况确定，一般每辆急救车占地 50～100 m2。急救分站应包括下列各室：值班人员休息室、生活室、活动室、车库，需配备急救车辆、急救医疗药品器械、通信设备、生活设备。</w:t>
            </w:r>
          </w:p>
          <w:p w14:paraId="4F380871">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（五）急救半径和反应时间</w:t>
            </w:r>
          </w:p>
          <w:p w14:paraId="42BD9A57">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急救半径是指急救单元所执行院外急救服务区域的半径，代表院外急救服务范围的最长直线辐射距离，缩小急救半径是急救单元能快速到达现场的重要条件之一。急救半径：市区 3～5 km，郊区、县 10～15 km。反应时间是急救中心（站）调度室接到呼救电话至急救车到达现场所需时间，包括通信时间、出发时间、到达现场途中的时间、到达患者身边的时间。反应时间长短是判断院外急救服务功能重要的综合指标之一，一般在接到救护指令后，急救车必须在 3 分钟内开出医院，市区 10 km 内要求在 15 分钟之内、郊区要求在 30 分钟之内到达现场。</w:t>
            </w:r>
          </w:p>
          <w:p w14:paraId="14C6F42C">
            <w:pPr>
              <w:keepNext w:val="0"/>
              <w:keepLines w:val="0"/>
              <w:widowControl w:val="0"/>
              <w:suppressLineNumbers w:val="0"/>
              <w:spacing w:before="0" w:beforeAutospacing="0" w:after="0" w:afterAutospacing="0" w:line="360" w:lineRule="auto"/>
              <w:ind w:left="0" w:right="0"/>
              <w:jc w:val="both"/>
              <w:rPr>
                <w:rFonts w:hint="default" w:ascii="Times New Roman" w:hAnsi="Times New Roman"/>
                <w:szCs w:val="24"/>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l2br w:val="nil"/>
              <w:tr2bl w:val="nil"/>
            </w:tcBorders>
            <w:vAlign w:val="center"/>
          </w:tcPr>
          <w:p w14:paraId="07465BDF">
            <w:pPr>
              <w:keepNext w:val="0"/>
              <w:keepLines w:val="0"/>
              <w:suppressLineNumbers w:val="0"/>
              <w:spacing w:before="0" w:beforeAutospacing="0" w:after="0" w:afterAutospacing="0" w:line="360" w:lineRule="auto"/>
              <w:ind w:left="0" w:right="0"/>
              <w:jc w:val="left"/>
              <w:rPr>
                <w:rFonts w:hint="default" w:ascii="Times New Roman" w:hAnsi="Times New Roman"/>
                <w:b/>
                <w:szCs w:val="24"/>
              </w:rPr>
            </w:pPr>
            <w:r>
              <w:rPr>
                <w:rFonts w:hint="eastAsia" w:ascii="Times New Roman" w:hAnsi="Times New Roman"/>
                <w:b/>
                <w:szCs w:val="24"/>
              </w:rPr>
              <w:t>通过教师讲解，了解</w:t>
            </w:r>
            <w:r>
              <w:rPr>
                <w:rFonts w:hint="eastAsia" w:ascii="Times New Roman" w:hAnsi="Times New Roman"/>
                <w:b/>
                <w:szCs w:val="24"/>
                <w:lang w:val="en-US" w:eastAsia="zh-CN"/>
              </w:rPr>
              <w:t>概述（二）的基本理论知</w:t>
            </w:r>
            <w:r>
              <w:rPr>
                <w:rFonts w:hint="eastAsia" w:ascii="Times New Roman" w:hAnsi="Times New Roman"/>
                <w:b/>
                <w:szCs w:val="24"/>
              </w:rPr>
              <w:t>识。</w:t>
            </w:r>
          </w:p>
        </w:tc>
      </w:tr>
      <w:tr w14:paraId="1E637E8F">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56B167A1">
            <w:pPr>
              <w:keepNext w:val="0"/>
              <w:keepLines w:val="0"/>
              <w:widowControl w:val="0"/>
              <w:suppressLineNumbers w:val="0"/>
              <w:spacing w:before="0" w:beforeAutospacing="0" w:after="0" w:afterAutospacing="0"/>
              <w:ind w:left="0" w:right="0"/>
              <w:jc w:val="center"/>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14:paraId="7E6D2815">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w:t>
            </w:r>
            <w:r>
              <w:rPr>
                <w:rFonts w:hint="eastAsia" w:ascii="Times New Roman" w:hAnsi="Times New Roman" w:cs="Times New Roman"/>
                <w:kern w:val="2"/>
                <w:sz w:val="21"/>
                <w:szCs w:val="21"/>
                <w:lang w:val="en-US" w:eastAsia="zh-CN" w:bidi="ar"/>
              </w:rPr>
              <w:t>3</w:t>
            </w:r>
            <w:r>
              <w:rPr>
                <w:rFonts w:hint="default" w:ascii="Times New Roman" w:hAnsi="Times New Roman" w:eastAsia="宋体" w:cs="Times New Roman"/>
                <w:kern w:val="2"/>
                <w:sz w:val="21"/>
                <w:szCs w:val="21"/>
                <w:lang w:val="en-US" w:eastAsia="zh-CN" w:bidi="ar"/>
              </w:rPr>
              <w:t>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71CD20FD">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回顾和总结本节课的知识点。</w:t>
            </w:r>
          </w:p>
          <w:p w14:paraId="4E94F667">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宋体" w:hAnsi="宋体" w:eastAsia="宋体" w:cs="宋体"/>
                <w:b/>
                <w:bCs w:val="0"/>
                <w:kern w:val="2"/>
                <w:sz w:val="21"/>
                <w:szCs w:val="21"/>
                <w:lang w:val="en-US" w:eastAsia="zh-CN" w:bidi="ar"/>
              </w:rPr>
            </w:pPr>
            <w:r>
              <w:rPr>
                <w:rFonts w:hint="eastAsia" w:ascii="宋体" w:hAnsi="宋体" w:eastAsia="宋体" w:cs="宋体"/>
                <w:b/>
                <w:bCs w:val="0"/>
                <w:kern w:val="2"/>
                <w:sz w:val="21"/>
                <w:szCs w:val="21"/>
                <w:lang w:val="en-US" w:eastAsia="zh-CN" w:bidi="ar"/>
              </w:rPr>
              <w:t>这节课我们一起学习了</w:t>
            </w:r>
            <w:r>
              <w:rPr>
                <w:rFonts w:hint="eastAsia" w:ascii="宋体" w:hAnsi="宋体" w:cs="宋体"/>
                <w:b/>
                <w:bCs w:val="0"/>
                <w:kern w:val="0"/>
                <w:sz w:val="21"/>
                <w:szCs w:val="21"/>
                <w:lang w:val="en-US" w:eastAsia="zh-CN" w:bidi="ar"/>
              </w:rPr>
              <w:t>概述</w:t>
            </w:r>
            <w:r>
              <w:rPr>
                <w:rFonts w:hint="eastAsia" w:ascii="宋体" w:hAnsi="宋体" w:eastAsia="宋体" w:cs="宋体"/>
                <w:b/>
                <w:bCs w:val="0"/>
                <w:kern w:val="0"/>
                <w:sz w:val="21"/>
                <w:szCs w:val="21"/>
                <w:lang w:val="en-US" w:eastAsia="zh-CN" w:bidi="ar"/>
              </w:rPr>
              <w:t>（</w:t>
            </w:r>
            <w:r>
              <w:rPr>
                <w:rFonts w:hint="eastAsia" w:ascii="宋体" w:hAnsi="宋体" w:cs="宋体"/>
                <w:b/>
                <w:bCs w:val="0"/>
                <w:kern w:val="0"/>
                <w:sz w:val="21"/>
                <w:szCs w:val="21"/>
                <w:lang w:val="en-US" w:eastAsia="zh-CN" w:bidi="ar"/>
              </w:rPr>
              <w:t>二</w:t>
            </w:r>
            <w:r>
              <w:rPr>
                <w:rFonts w:hint="eastAsia" w:ascii="宋体" w:hAnsi="宋体" w:eastAsia="宋体" w:cs="宋体"/>
                <w:b/>
                <w:bCs w:val="0"/>
                <w:kern w:val="0"/>
                <w:sz w:val="21"/>
                <w:szCs w:val="21"/>
                <w:lang w:val="en-US" w:eastAsia="zh-CN" w:bidi="ar"/>
              </w:rPr>
              <w:t>）</w:t>
            </w:r>
            <w:r>
              <w:rPr>
                <w:rFonts w:hint="eastAsia" w:ascii="宋体" w:hAnsi="宋体" w:cs="宋体"/>
                <w:b/>
                <w:bCs w:val="0"/>
                <w:kern w:val="0"/>
                <w:sz w:val="21"/>
                <w:szCs w:val="21"/>
                <w:lang w:val="en-US" w:eastAsia="zh-CN" w:bidi="ar"/>
              </w:rPr>
              <w:t>，作为即将加入护理队伍的年轻人，更应该加强各种本领的学习，提升自身的政治素质、思想道德素质、理论素质，作风素质和实干素质。</w:t>
            </w:r>
          </w:p>
        </w:tc>
        <w:tc>
          <w:tcPr>
            <w:tcW w:w="1366" w:type="dxa"/>
            <w:tcBorders>
              <w:tl2br w:val="nil"/>
              <w:tr2bl w:val="nil"/>
            </w:tcBorders>
            <w:vAlign w:val="center"/>
          </w:tcPr>
          <w:p w14:paraId="11116427">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通过对所学知识的回顾，培养学生的归纳总结能力</w:t>
            </w:r>
          </w:p>
        </w:tc>
      </w:tr>
      <w:tr w14:paraId="727641EC">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6F602594">
            <w:pPr>
              <w:keepNext w:val="0"/>
              <w:keepLines w:val="0"/>
              <w:widowControl w:val="0"/>
              <w:suppressLineNumbers w:val="0"/>
              <w:spacing w:before="0" w:beforeAutospacing="0" w:after="0" w:afterAutospacing="0" w:line="264" w:lineRule="auto"/>
              <w:ind w:left="8" w:leftChars="0" w:right="0" w:rightChars="0" w:hanging="8" w:firstLineChars="0"/>
              <w:jc w:val="center"/>
              <w:rPr>
                <w:rFonts w:hint="eastAsia" w:ascii="Times New Roman" w:hAnsi="Times New Roman" w:eastAsia="宋体" w:cs="Times New Roman"/>
                <w:kern w:val="2"/>
                <w:sz w:val="21"/>
                <w:szCs w:val="21"/>
                <w:lang w:val="en-US" w:eastAsia="zh-CN" w:bidi="ar-SA"/>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b w:val="0"/>
                <w:bCs w:val="0"/>
                <w:kern w:val="2"/>
                <w:sz w:val="21"/>
                <w:szCs w:val="21"/>
                <w:lang w:val="en-US" w:eastAsia="zh-CN" w:bidi="ar"/>
              </w:rPr>
              <w:t>（</w:t>
            </w:r>
            <w:r>
              <w:rPr>
                <w:rFonts w:hint="eastAsia" w:ascii="Times New Roman" w:hAnsi="Times New Roman" w:cs="Times New Roman"/>
                <w:b w:val="0"/>
                <w:bCs w:val="0"/>
                <w:kern w:val="2"/>
                <w:sz w:val="21"/>
                <w:szCs w:val="21"/>
                <w:lang w:val="en-US" w:eastAsia="zh-CN" w:bidi="ar"/>
              </w:rPr>
              <w:t>2</w:t>
            </w:r>
            <w:r>
              <w:rPr>
                <w:rFonts w:hint="default" w:ascii="Times New Roman" w:hAnsi="Times New Roman" w:eastAsia="宋体" w:cs="Times New Roman"/>
                <w:b w:val="0"/>
                <w:bCs w:val="0"/>
                <w:kern w:val="2"/>
                <w:sz w:val="21"/>
                <w:szCs w:val="21"/>
                <w:lang w:val="en-US" w:eastAsia="zh-CN" w:bidi="ar"/>
              </w:rPr>
              <w:t>min</w:t>
            </w:r>
            <w:r>
              <w:rPr>
                <w:rFonts w:hint="eastAsia" w:ascii="宋体" w:hAnsi="宋体" w:eastAsia="宋体" w:cs="宋体"/>
                <w:b w:val="0"/>
                <w:bCs w:val="0"/>
                <w:kern w:val="2"/>
                <w:sz w:val="21"/>
                <w:szCs w:val="21"/>
                <w:lang w:val="en-US" w:eastAsia="zh-CN" w:bidi="ar"/>
              </w:rPr>
              <w:t>）</w:t>
            </w:r>
          </w:p>
        </w:tc>
        <w:tc>
          <w:tcPr>
            <w:tcW w:w="5807" w:type="dxa"/>
            <w:tcBorders>
              <w:tl2br w:val="nil"/>
              <w:tr2bl w:val="nil"/>
            </w:tcBorders>
            <w:vAlign w:val="center"/>
          </w:tcPr>
          <w:p w14:paraId="36B75044">
            <w:pPr>
              <w:keepNext w:val="0"/>
              <w:keepLines w:val="0"/>
              <w:widowControl w:val="0"/>
              <w:suppressLineNumbers w:val="0"/>
              <w:spacing w:before="0" w:beforeAutospacing="0" w:after="0" w:afterAutospacing="0" w:line="360" w:lineRule="auto"/>
              <w:ind w:left="0" w:right="0"/>
              <w:jc w:val="both"/>
              <w:rPr>
                <w:rFonts w:hint="eastAsia" w:ascii="宋体" w:hAnsi="宋体" w:eastAsia="宋体" w:cs="宋体"/>
                <w:b w:val="0"/>
                <w:bCs/>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布置课后作业</w:t>
            </w:r>
          </w:p>
          <w:p w14:paraId="5BD3BE88">
            <w:pPr>
              <w:keepNext w:val="0"/>
              <w:keepLines w:val="0"/>
              <w:widowControl w:val="0"/>
              <w:suppressLineNumbers w:val="0"/>
              <w:spacing w:before="0" w:beforeAutospacing="0" w:after="0" w:afterAutospacing="0" w:line="360" w:lineRule="auto"/>
              <w:ind w:left="0" w:leftChars="0" w:right="0" w:rightChars="0" w:firstLine="420" w:firstLineChars="200"/>
              <w:jc w:val="both"/>
              <w:rPr>
                <w:rFonts w:hint="eastAsia" w:ascii="Calibri" w:hAnsi="宋体" w:eastAsia="宋体" w:cs="Times New Roman"/>
                <w:bCs/>
                <w:kern w:val="2"/>
                <w:sz w:val="21"/>
                <w:szCs w:val="21"/>
                <w:lang w:val="en-US" w:eastAsia="zh-CN" w:bidi="ar-SA"/>
              </w:rPr>
            </w:pPr>
            <w:r>
              <w:rPr>
                <w:rFonts w:hint="eastAsia" w:ascii="宋体" w:hAnsi="宋体" w:cs="宋体"/>
                <w:bCs/>
                <w:kern w:val="2"/>
                <w:sz w:val="21"/>
                <w:szCs w:val="21"/>
                <w:lang w:val="en-US" w:eastAsia="zh-CN" w:bidi="ar"/>
              </w:rPr>
              <w:t>简述急救半径和反应时间。</w:t>
            </w:r>
          </w:p>
        </w:tc>
        <w:tc>
          <w:tcPr>
            <w:tcW w:w="1366" w:type="dxa"/>
            <w:tcBorders>
              <w:tl2br w:val="nil"/>
              <w:tr2bl w:val="nil"/>
            </w:tcBorders>
            <w:vAlign w:val="center"/>
          </w:tcPr>
          <w:p w14:paraId="4F7CACC0">
            <w:pPr>
              <w:keepNext w:val="0"/>
              <w:keepLines w:val="0"/>
              <w:widowControl w:val="0"/>
              <w:suppressLineNumbers w:val="0"/>
              <w:spacing w:before="0" w:beforeAutospacing="0" w:after="0" w:afterAutospacing="0" w:line="360" w:lineRule="auto"/>
              <w:ind w:left="0" w:leftChars="0" w:right="0" w:rightChars="0"/>
              <w:jc w:val="left"/>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val="0"/>
                <w:bCs/>
                <w:kern w:val="2"/>
                <w:sz w:val="21"/>
                <w:szCs w:val="21"/>
                <w:lang w:val="en-US" w:eastAsia="zh-CN" w:bidi="ar"/>
              </w:rPr>
              <w:t>通过课后练习，使学生巩固所学新知识</w:t>
            </w:r>
          </w:p>
        </w:tc>
      </w:tr>
      <w:tr w14:paraId="7D23CDA4">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1E24FC3C">
            <w:pPr>
              <w:keepNext w:val="0"/>
              <w:keepLines w:val="0"/>
              <w:suppressLineNumbers w:val="0"/>
              <w:spacing w:before="0" w:beforeAutospacing="0" w:after="0" w:afterAutospacing="0"/>
              <w:ind w:left="0" w:right="0"/>
              <w:jc w:val="center"/>
              <w:rPr>
                <w:rFonts w:hint="default" w:ascii="微软雅黑" w:hAnsi="微软雅黑" w:eastAsia="微软雅黑"/>
                <w:b/>
                <w:sz w:val="24"/>
                <w:szCs w:val="24"/>
              </w:rPr>
            </w:pPr>
            <w:r>
              <w:rPr>
                <w:rFonts w:hint="eastAsia" w:ascii="微软雅黑" w:hAnsi="微软雅黑" w:eastAsia="微软雅黑"/>
                <w:b/>
                <w:sz w:val="24"/>
                <w:szCs w:val="24"/>
                <w:lang w:eastAsia="zh-CN"/>
              </w:rPr>
              <w:t>知识讲解</w:t>
            </w:r>
            <w:r>
              <w:rPr>
                <w:rFonts w:hint="default" w:ascii="Times New Roman" w:hAnsi="Times New Roman"/>
                <w:szCs w:val="24"/>
              </w:rPr>
              <w:t>（45</w:t>
            </w:r>
            <w:r>
              <w:rPr>
                <w:rFonts w:hint="eastAsia" w:ascii="Times New Roman" w:hAnsi="Times New Roman"/>
                <w:szCs w:val="24"/>
              </w:rPr>
              <w:t>min</w:t>
            </w:r>
            <w:r>
              <w:rPr>
                <w:rFonts w:hint="default" w:ascii="Times New Roman" w:hAnsi="Times New Roman"/>
                <w:szCs w:val="24"/>
              </w:rPr>
              <w:t>）</w:t>
            </w:r>
          </w:p>
        </w:tc>
        <w:tc>
          <w:tcPr>
            <w:tcW w:w="5807" w:type="dxa"/>
            <w:tcBorders>
              <w:tl2br w:val="nil"/>
              <w:tr2bl w:val="nil"/>
            </w:tcBorders>
            <w:vAlign w:val="center"/>
          </w:tcPr>
          <w:p w14:paraId="416ABC40">
            <w:pPr>
              <w:keepNext w:val="0"/>
              <w:keepLines w:val="0"/>
              <w:widowControl/>
              <w:suppressLineNumbers w:val="0"/>
              <w:spacing w:before="0" w:beforeAutospacing="0" w:after="0" w:afterAutospacing="0" w:line="360" w:lineRule="auto"/>
              <w:ind w:left="0" w:right="0"/>
              <w:jc w:val="left"/>
              <w:rPr>
                <w:rFonts w:hint="eastAsia" w:ascii="Times New Roman" w:hAnsi="Times New Roman" w:eastAsia="宋体" w:cs="Times New Roman"/>
                <w:b/>
                <w:bCs w:val="0"/>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展示院外急救护理</w:t>
            </w:r>
          </w:p>
          <w:p w14:paraId="4DD1450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一、现场评估</w:t>
            </w:r>
          </w:p>
          <w:p w14:paraId="1038701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（一）评估要求</w:t>
            </w:r>
          </w:p>
          <w:p w14:paraId="64244A0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要求边抢救边评估，快速有效、准确无误。评估一个患者要求在 1～2 分钟内完成，按照先危后重、再轻后小（伤势小）的原则进行。评估过程中注意“三清”，即听清患者或陪同人员的主诉；问清与发病或创伤有关的细节；看清与主诉相符合的症状及局部表现。原则上尽量不移动患者，以免加重损伤。</w:t>
            </w:r>
          </w:p>
          <w:p w14:paraId="2D87BE7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（二）评估病因</w:t>
            </w:r>
          </w:p>
          <w:p w14:paraId="1AECDB8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快速评估造成事故、伤害以及发病的原因，是否存在有对救护者、患者或旁观者造成伤害的危险环境，如触电，应先切断电源。现场危险因素不能及时消除时应首先撤离患者，或做好必要的防护措施。</w:t>
            </w:r>
          </w:p>
          <w:p w14:paraId="130A4A1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（三）评估病情</w:t>
            </w:r>
          </w:p>
          <w:p w14:paraId="3E375A7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 快速评估危重病情</w:t>
            </w:r>
          </w:p>
          <w:p w14:paraId="4AA5886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意识状态：判断患者处于清醒、嗜睡、意识模糊、昏睡、昏迷中的何种状态。可对患者实行呼唤、轻拍面颊、推动肩部等动作，如对上述刺激没反应，说明意识丧失，情况危急。检查瞳孔大小、对光反射及是否散大固定。瞳孔不等大常提示颅脑损伤或存在颅脑血肿或脑疝；瞳孔缩小如针尖大小常提示有机磷农药中毒、吗啡中毒、毒蕈中毒及脑干病变；双侧瞳孔散大、对光反射消失是濒死或已死亡的征象。</w:t>
            </w:r>
          </w:p>
          <w:p w14:paraId="1517069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呼吸：通过一看（胸廓有无起伏）、二听（有无呼吸音）、三感觉（有无气流感）方法来判断患者自主呼吸是否存在。检查气道是否畅通，如存在梗阻，应立即检查原因并予以解除。评估呼吸的频率、节律、深度有无改变，有无呼吸困难、发绀和三凹征，呼气是否有特殊气味。如呼吸已停止，应立即进行人工呼吸。</w:t>
            </w:r>
          </w:p>
          <w:p w14:paraId="4934FAF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（3）循环：评估脉搏、血压和皮肤温度。脉搏主要检查桡动脉（也可为颈动脉或股动脉）搏动的强度、节律、频率是否异常，如桡动脉触摸不清，提示收缩压可能已经降到 80 mmHg 以下；如颈动脉触摸不清，提示收缩压可能已经降到 60 mmHg 以下。血压主要检查肱动脉血压，如上肢受伤，可测量腘动脉，其值比肱动脉高 20～30 mmHg。测量体温是否异常，有无发热、湿冷，并观察皮肤有无发绀、花纹来判断末梢循环情况。</w:t>
            </w:r>
          </w:p>
          <w:p w14:paraId="76F6057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 检查伤情</w:t>
            </w:r>
          </w:p>
          <w:p w14:paraId="65C502D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在快速完成现场危重病情评估后，根据实际情况，对患者的头部、颈部、胸部、腹部、骨盆、脊柱及四肢进行全身系统或有针对性地重点检查。在检伤时尽量少移动或不移动患者。注意倾听患者或目击者对发病或创伤有关细节的描述；要重点观察患者的生命体征、受伤与病变主要部位的情况。</w:t>
            </w:r>
          </w:p>
          <w:p w14:paraId="3F4287C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（1）头部体征。</w:t>
            </w:r>
          </w:p>
          <w:p w14:paraId="28F5C63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①口：口唇有无发绀、破损，有无因误服腐蚀性液体所致烧伤或色泽改变；口腔内有无呕吐物、血液、食物或脱落牙齿，如发现牙齿松脱或安装有义齿者要及时清除。经口呼吸者，观察呼吸道频率、幅度、有无呼吸阻力或异味。</w:t>
            </w:r>
          </w:p>
          <w:p w14:paraId="03D6F79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②鼻：鼻腔是否通畅，有无呼吸气流，有无血液或脑脊液自鼻孔流出，鼻骨是否完整或变形。</w:t>
            </w:r>
          </w:p>
          <w:p w14:paraId="48D40D9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③耳：耳郭有无异物、变形，有无液体流出。如有血液或脑脊液流出，提示有颅底骨折。检查听力是否异常。</w:t>
            </w:r>
          </w:p>
          <w:p w14:paraId="5305DF1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④眼：观察眼球表面及晶状体有无出血或充血，视物是否清楚等。</w:t>
            </w:r>
          </w:p>
          <w:p w14:paraId="4008936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⑤面部：是否苍白或潮红，额部有无汗出。</w:t>
            </w:r>
          </w:p>
          <w:p w14:paraId="6C7A421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⑥头颅：注意头颅大小、外形，头皮有无外伤。</w:t>
            </w:r>
          </w:p>
          <w:p w14:paraId="65ABF9B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（2）颈部体征：观察颈部外形与活动，有无损伤、出血、血肿，有无颈项强直，颈后部有无压痛。触摸颈动脉搏动的强弱和节律，注意有无颈椎损伤，以及观察气管是否居中。</w:t>
            </w:r>
          </w:p>
          <w:p w14:paraId="5C54F1A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（3）脊柱体征：主要是针对创伤患者，在未确定是否存在脊髓损伤的情况下，切不可盲目搬动患者。检查时，用手平伸向患者后背，自上向下触摸，检查有无肿胀或形状异常。</w:t>
            </w:r>
          </w:p>
          <w:p w14:paraId="1C7CC00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4）胸部体征：检查锁骨有无异常隆起或变形，向其上稍施压力，观察有无压痛，以确定有无骨折并定位。检查胸部有无创伤、出血或畸形，吸气时胸廓起伏是否对称。另外，通过双手轻轻在胸部两侧施加压力，检查有无肋骨骨折。</w:t>
            </w:r>
          </w:p>
          <w:p w14:paraId="0C99341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（5）腹部体征：观察腹部外形有无膨隆、凹陷，腹式呼吸运动情况，以及有无创伤、出血；腹部有无压痛或肌紧张等。确定可能损伤的脏器及其范围。</w:t>
            </w:r>
          </w:p>
          <w:p w14:paraId="4CF74F9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（6）骨盆体征：通过双手分别放在患者髋部两侧，轻轻施加压力，检查有无疼痛或骨折存在。观察外生殖器有无损伤。</w:t>
            </w:r>
          </w:p>
          <w:p w14:paraId="550857C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（7）四肢体征：检查四肢有无形态异常、肿胀或压痛，两侧相互对照。如患者神志清醒，可让患者活动肢体。检查肌力和皮肤感觉，注意肢端、甲床末梢循环。注意不能随意抬起患者双脚，以免加重损伤。</w:t>
            </w:r>
          </w:p>
          <w:p w14:paraId="25DD253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 病情分类</w:t>
            </w:r>
          </w:p>
          <w:p w14:paraId="12C50BD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在成批伤员（指 3 人以上同时受伤或中毒）出现时，应进行现场分类，以利对各类患者进行及时、恰当的处理。标记卡放于患者的左胸部或其他明显部位，便于医护人员辨认并采取相应措施。</w:t>
            </w:r>
          </w:p>
          <w:p w14:paraId="73BC80D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（1）重度：标记为红色。指危及生命的危重患者，如窒息、休克、中毒、电击、溺水、昏迷、大出血等。这类患者随时有生命危险，需要第一优先处理，迅速就地抢救。</w:t>
            </w:r>
          </w:p>
          <w:p w14:paraId="397866C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中度：标记为黄色。介于轻重伤之间，需尽快接受治疗，否则伤情很快恶化。如两处以上肢体骨折、肢体断离、大面积烧伤、骨盆骨折、软组织伤等。一般不危及生命，需第二优先处理，进行必要的检查和处理后及时转运。</w:t>
            </w:r>
          </w:p>
          <w:p w14:paraId="46A7845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（3）轻度：标记为绿色。伤、病情较轻，意识清醒，能积极配合检查，生命体征正常。如挫伤、擦伤、一处肢体骨折、关节脱位和小面积烧伤等。可在危重患者处理后再安排转运，但仍需随时观察病情。</w:t>
            </w:r>
          </w:p>
          <w:p w14:paraId="3FE9A57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4）死亡：标记为黑色。来诊时已经死亡者。需放置在适当或特定的位置，以免影响其他患者的抢救。另外，还有与上述颜色同时使用的蓝色，表示患者已被放射源或传染病污染。按患者出现的临床症状和体征可分为四类，用红、黄、绿、黑四种颜色将患者分类标记。</w:t>
            </w:r>
          </w:p>
          <w:p w14:paraId="117CCB0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二、现场救护</w:t>
            </w:r>
          </w:p>
          <w:p w14:paraId="0CF2E98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（一）体位</w:t>
            </w:r>
          </w:p>
          <w:p w14:paraId="5BE98E2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（1）无意识、无呼吸、无心跳者，应仰卧于坚硬的平地或硬木板床上，解开衣领和裤带，进行心肺脑复苏术。</w:t>
            </w:r>
          </w:p>
          <w:p w14:paraId="5E17421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（2）意识障碍但有呼吸和循环者，应置于侧卧位，仰卧位者应将头偏向一侧，以防止呕吐物、分泌物误吸入气管而窒息。</w:t>
            </w:r>
          </w:p>
          <w:p w14:paraId="1E82512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意识、呼吸、心跳存在者，根据疾病性质和病变部位摆好体位。例如，休克者，采取中凹位；腹痛者，屈膝于腹前以放松腹肌；下肢肿胀者，抬高下肢以利静脉血回流；毒蛇咬伤下肢者，放低患肢，以减慢毒液的扩散。在不影响急救处理的前提下，应尽量舒适，注意保暖。</w:t>
            </w:r>
          </w:p>
          <w:p w14:paraId="5A9A08D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（二）现场救护要点</w:t>
            </w:r>
          </w:p>
          <w:p w14:paraId="2903ED6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 维持呼吸功能，保持呼吸道通畅</w:t>
            </w:r>
          </w:p>
          <w:p w14:paraId="3F04491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清除口腔、咽喉和气管内的异物及痰液，昏迷者要防止舌后坠，用口咽管通气或用舌钳牵出固定；缺氧者给氧；呼吸停止者，迅速开放呼吸道，进行人工呼吸，如气管内插管、应用简易人工呼吸器、环甲膜穿刺等；开放性气胸者，立即封闭创口；张力性气胸者，立即穿刺排气；胸腔内积血积液者，进行胸腔闭式引流。</w:t>
            </w:r>
          </w:p>
          <w:p w14:paraId="614F660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 维持循环功能</w:t>
            </w:r>
          </w:p>
          <w:p w14:paraId="13A9851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维持循环功能包括高血压急诊、心力衰竭、冠心病、急性心肌梗死和各种休克的处理，严重心律失常的药物治疗、心电监测、电除颤和心脏起搏及胸外心脏按压术等。</w:t>
            </w:r>
          </w:p>
          <w:p w14:paraId="147815E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 维持中枢神经系统功能</w:t>
            </w:r>
          </w:p>
          <w:p w14:paraId="6EAE8E3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维持中枢神经系统功能包括对急性脑血管疾病、癫痫发作及急性脑水肿的急救护理。</w:t>
            </w:r>
          </w:p>
          <w:p w14:paraId="48328AD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4. 迅速建立有效的静脉通道</w:t>
            </w:r>
          </w:p>
          <w:p w14:paraId="1553A71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为维持有效循环血量和保证治疗药物及时进入体内，应尽量选用静脉留置针，以保证输液快速、畅通地进行。危重者可建立两条以上的静脉通道。给药时要做到“三查七对”，用过的空瓶应暂时保留以便核对。</w:t>
            </w:r>
          </w:p>
          <w:p w14:paraId="2810F20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5. 创伤的现场救护（详见单元七）</w:t>
            </w:r>
          </w:p>
          <w:p w14:paraId="27460AD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6. 灾害、意外事故的现场救护（详见单元六）</w:t>
            </w:r>
          </w:p>
          <w:p w14:paraId="2A8969B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7. 对症救护措施</w:t>
            </w:r>
          </w:p>
          <w:p w14:paraId="654EA31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针对不同的情况，酌情给予止痛、止血、止痉、止吐、止喘、降温等措施。</w:t>
            </w:r>
          </w:p>
          <w:p w14:paraId="7A5572F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8. 急救现场松解或去除患者衣物或头盔的技巧</w:t>
            </w:r>
          </w:p>
          <w:p w14:paraId="0D8CB40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脱上衣时应先脱健侧后脱患侧；脱长裤时应将患者呈平卧位，双下肢伸直，解开腰带及纽扣，从腰部将长裤褪至髋下，再向下平拉脱出，必要时可直接剪开衣裤，以争取时间和减少创伤；脱鞋袜时应托起并固定住踝部，解开鞋带，顺足形方向脱下鞋袜；去除头盔时应先用力将头盔的边缘向外侧扳开，再将头盔向后上方托起即可。</w:t>
            </w:r>
          </w:p>
          <w:p w14:paraId="15828A2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9. 对疑有脊椎损伤者应立即予以制动，以免造成瘫痪</w:t>
            </w:r>
          </w:p>
          <w:p w14:paraId="2627F76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10. 心理护理</w:t>
            </w:r>
          </w:p>
          <w:p w14:paraId="33B09EE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急救过程中要护理好患者及家属的紧张、焦虑、恐惧等心理反应。对家属客观地介绍病情，取得其理解和合作。</w:t>
            </w:r>
          </w:p>
          <w:p w14:paraId="36C5812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（三）分流</w:t>
            </w:r>
          </w:p>
          <w:p w14:paraId="329A07F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对患者进行快速分流可以使之及时得到后续救治和处理。</w:t>
            </w:r>
          </w:p>
          <w:p w14:paraId="1195E15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（1）轻度损伤者，经处理后可分流到住处或暂住点，或分流到社区卫生站点。</w:t>
            </w:r>
          </w:p>
          <w:p w14:paraId="1551C02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（2）中度损伤者，对症应急处理后可分流到附近有条件的医院。</w:t>
            </w:r>
          </w:p>
          <w:p w14:paraId="21C7EF5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（3）重度损伤者，经现场急救、维持生命支持性措施后，生命体征稍稳定可分流到附近有条件的医院。</w:t>
            </w:r>
          </w:p>
          <w:p w14:paraId="4830B81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（4）死亡者，做好善后和遗体处理。</w:t>
            </w:r>
          </w:p>
          <w:p w14:paraId="69A8FD2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三、转运与途中监护</w:t>
            </w:r>
          </w:p>
          <w:p w14:paraId="28A3555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危重患者经必要的现场急救如畅通气道、行心肺脑复苏、控制大出血后，应迅速转运到有条件的医院作进一步的治疗。应注意避免不视病情而一味强调迅速转运，导致严重的不良后果。同时，要做到医疗监护运输，确保患者安全到达目的地。</w:t>
            </w:r>
          </w:p>
          <w:p w14:paraId="7CCD96E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（一）转运前救护准备</w:t>
            </w:r>
          </w:p>
          <w:p w14:paraId="4890D87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 转运前准备</w:t>
            </w:r>
          </w:p>
          <w:p w14:paraId="2D7E8EA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检查运输工具上的急救药品、器械和设备，针对病情做好充分的准备，确保转运途中能正常使用。</w:t>
            </w:r>
          </w:p>
          <w:p w14:paraId="2B48A08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 通报病情</w:t>
            </w:r>
          </w:p>
          <w:p w14:paraId="5A86890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救护人员应向家属做好转运解释工作，并说明病情及转运途中可能出现的病情变化，取得其理解与配合。</w:t>
            </w:r>
          </w:p>
          <w:p w14:paraId="0E6FF3B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 通信联络</w:t>
            </w:r>
          </w:p>
          <w:p w14:paraId="3009DAF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与急救中心（站）或医院取得联系，并通报伤情，以便医院做好接收的准备。</w:t>
            </w:r>
          </w:p>
          <w:p w14:paraId="5779063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4. 病情评估</w:t>
            </w:r>
          </w:p>
          <w:p w14:paraId="64A2EFE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转运前再次测量患者的各项生命体征。</w:t>
            </w:r>
          </w:p>
          <w:p w14:paraId="1A295F6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（二）常用的转运工具与特点</w:t>
            </w:r>
          </w:p>
          <w:p w14:paraId="775C187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 担架</w:t>
            </w:r>
          </w:p>
          <w:p w14:paraId="4AD97F5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较舒适平稳，不受地形、道路等条件限制，但转运速度慢，人力消耗大，气候恶劣时影响使用。</w:t>
            </w:r>
          </w:p>
          <w:p w14:paraId="4ECDD83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 汽车</w:t>
            </w:r>
          </w:p>
          <w:p w14:paraId="28B4B0A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速度快，受气候影响小，但道路不平时颠簸严重，影响途中救护，且部分患者可能晕车，出现恶心、呕吐甚至加重病情。</w:t>
            </w:r>
          </w:p>
          <w:p w14:paraId="32E2405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 船艇</w:t>
            </w:r>
          </w:p>
          <w:p w14:paraId="70F8CB4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运送速度较快，机动性强，但遇风浪颠簸厉害时可引起晕船。</w:t>
            </w:r>
          </w:p>
          <w:p w14:paraId="29DD238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4. 飞机</w:t>
            </w:r>
          </w:p>
          <w:p w14:paraId="6CD2AB5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速度快、效率高、平稳，不受道路、地形的影响。但起降过程中机舱内气压变化对开放性气胸、腹部手术后、外伤致脑脊液漏等患者不利；高空中氧含量下降对肺功能不全、肺部病变的患者不利；温度、湿度、气压下降，对颅内病变、气管切开等患者不利。</w:t>
            </w:r>
          </w:p>
          <w:p w14:paraId="7670940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（三）转运过程中的监测与护理</w:t>
            </w:r>
          </w:p>
          <w:p w14:paraId="28262CD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（1）根据不同运输工具和伤情摆好体位，一般患者平卧；恶心、呕吐者侧卧；颅脑损伤、昏迷者头偏向一侧；胸部创伤呼吸困难者半卧；下肢损伤或术后患者适当抬高 15°～20°，以减轻肿胀及术后出血；颅脑损伤者应垫高头部。</w:t>
            </w:r>
          </w:p>
          <w:p w14:paraId="47A3A2A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（2）担架行进时伤员头部在后，下肢在前，利于病情观察。担架上需捆绑保险带，并注意防雨、防暑、防寒。</w:t>
            </w:r>
          </w:p>
          <w:p w14:paraId="5C69396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（3）脊椎受伤者，应保持脊柱轴线稳定，将其固定在硬板担架上搬运，观察生命体征变化，预防并发症发生。颈椎损伤者要尽可能用颈托保护颈椎，运送时尽量避免颠簸，不摇动身体。</w:t>
            </w:r>
          </w:p>
          <w:p w14:paraId="5E48E52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（4）救护车在拐弯、上下坡、停车、掉头时要力求平稳，避免颠簸。</w:t>
            </w:r>
          </w:p>
          <w:p w14:paraId="031F0C6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5）空运时，一般将患者横放，休克时头朝机尾，以免飞行中引起脑缺血。脑脊液漏的患者要用多层纱布加以保护，严防逆行感染。腹部外伤有腹胀者应先行胃肠减压术再空运。气管插管的气囊内注气量要少于地面，防止高空低压使气囊膨胀造成气管黏膜缺血性坏死。</w:t>
            </w:r>
          </w:p>
          <w:p w14:paraId="249AF49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（6）途中要加强生命支持性措施，如输液、吸氧、吸痰、气管插管、气管切开、心肺脑复苏、深静脉穿刺等措施，注意保持各种管道畅通。</w:t>
            </w:r>
          </w:p>
          <w:p w14:paraId="53320C1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7）用先进的监测、治疗手段加强生命维护，要随时观察监测患者呼吸、体温、脉搏、血压等生命体征以及意识、面色变化、出血等情况；使用心电监护仪对患者进行持续心电监测，一旦出现病情变化，应在途中紧急抢救，如采取心电除颤术等。</w:t>
            </w:r>
          </w:p>
          <w:p w14:paraId="24C770A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（8）做好抢救、观察、监护等有关医疗文件的记录，并做好患者的交接工作。</w:t>
            </w:r>
          </w:p>
          <w:p w14:paraId="33F5109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both"/>
              <w:textAlignment w:val="auto"/>
              <w:rPr>
                <w:rFonts w:hint="eastAsia" w:ascii="宋体" w:hAnsi="宋体" w:eastAsia="宋体" w:cs="宋体"/>
                <w:color w:val="538135"/>
                <w:kern w:val="2"/>
                <w:sz w:val="21"/>
                <w:szCs w:val="21"/>
                <w:lang w:val="en-US" w:eastAsia="zh-CN" w:bidi="ar"/>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l2br w:val="nil"/>
              <w:tr2bl w:val="nil"/>
            </w:tcBorders>
            <w:vAlign w:val="center"/>
          </w:tcPr>
          <w:p w14:paraId="009543F4">
            <w:pPr>
              <w:keepNext w:val="0"/>
              <w:keepLines w:val="0"/>
              <w:suppressLineNumbers w:val="0"/>
              <w:spacing w:before="0" w:beforeAutospacing="0" w:after="0" w:afterAutospacing="0" w:line="360" w:lineRule="auto"/>
              <w:ind w:left="0" w:right="0"/>
              <w:jc w:val="left"/>
              <w:rPr>
                <w:rFonts w:hint="default" w:ascii="Times New Roman" w:hAnsi="Times New Roman"/>
                <w:szCs w:val="24"/>
              </w:rPr>
            </w:pPr>
            <w:r>
              <w:rPr>
                <w:rFonts w:hint="eastAsia" w:ascii="Times New Roman" w:hAnsi="Times New Roman"/>
                <w:b/>
                <w:szCs w:val="24"/>
              </w:rPr>
              <w:t>教师通过</w:t>
            </w:r>
            <w:r>
              <w:rPr>
                <w:rFonts w:hint="eastAsia" w:ascii="Times New Roman" w:hAnsi="Times New Roman"/>
                <w:b/>
                <w:szCs w:val="24"/>
                <w:lang w:eastAsia="zh-CN"/>
              </w:rPr>
              <w:t>院外急救护理展示</w:t>
            </w:r>
            <w:r>
              <w:rPr>
                <w:rFonts w:hint="eastAsia" w:ascii="Times New Roman" w:hAnsi="Times New Roman"/>
                <w:b/>
                <w:szCs w:val="24"/>
              </w:rPr>
              <w:t>，</w:t>
            </w:r>
            <w:r>
              <w:rPr>
                <w:rFonts w:hint="eastAsia" w:ascii="Times New Roman" w:hAnsi="Times New Roman"/>
                <w:b/>
                <w:szCs w:val="24"/>
                <w:lang w:eastAsia="zh-CN"/>
              </w:rPr>
              <w:t>让</w:t>
            </w:r>
            <w:r>
              <w:rPr>
                <w:rFonts w:hint="eastAsia" w:ascii="Times New Roman" w:hAnsi="Times New Roman"/>
                <w:b/>
                <w:szCs w:val="24"/>
              </w:rPr>
              <w:t>学生了解</w:t>
            </w:r>
            <w:r>
              <w:rPr>
                <w:rFonts w:hint="eastAsia" w:ascii="Times New Roman" w:hAnsi="Times New Roman"/>
                <w:b/>
                <w:szCs w:val="24"/>
                <w:lang w:eastAsia="zh-CN"/>
              </w:rPr>
              <w:t>院外急救护理</w:t>
            </w:r>
            <w:r>
              <w:rPr>
                <w:rFonts w:hint="eastAsia" w:ascii="Times New Roman" w:hAnsi="Times New Roman"/>
                <w:b/>
                <w:szCs w:val="24"/>
              </w:rPr>
              <w:t>的基本理论知识。</w:t>
            </w:r>
          </w:p>
        </w:tc>
      </w:tr>
      <w:tr w14:paraId="4EA5D11E">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7CE7BF05">
            <w:pPr>
              <w:keepNext w:val="0"/>
              <w:keepLines w:val="0"/>
              <w:widowControl w:val="0"/>
              <w:suppressLineNumbers w:val="0"/>
              <w:spacing w:before="0" w:beforeAutospacing="0" w:after="0" w:afterAutospacing="0"/>
              <w:ind w:left="0" w:right="0"/>
              <w:jc w:val="center"/>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14:paraId="2F4E007B">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3min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4660E59C">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回顾和总结本节课的知识点。</w:t>
            </w:r>
          </w:p>
          <w:p w14:paraId="29722B10">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bCs w:val="0"/>
                <w:kern w:val="2"/>
                <w:sz w:val="21"/>
                <w:szCs w:val="21"/>
                <w:lang w:val="en-US" w:eastAsia="zh-CN" w:bidi="ar"/>
              </w:rPr>
              <w:t>这节课我们一起学习了</w:t>
            </w:r>
            <w:r>
              <w:rPr>
                <w:rFonts w:hint="eastAsia" w:ascii="宋体" w:hAnsi="宋体" w:cs="宋体"/>
                <w:b/>
                <w:bCs w:val="0"/>
                <w:kern w:val="0"/>
                <w:sz w:val="21"/>
                <w:szCs w:val="21"/>
                <w:lang w:val="en-US" w:eastAsia="zh-CN" w:bidi="ar"/>
              </w:rPr>
              <w:t>院外急救护理，按患者出现的临床症状和体征可分为四类，用红、黄、绿、黑四种颜色将患者分类标记。</w:t>
            </w:r>
          </w:p>
        </w:tc>
        <w:tc>
          <w:tcPr>
            <w:tcW w:w="1366" w:type="dxa"/>
            <w:tcBorders>
              <w:tl2br w:val="nil"/>
              <w:tr2bl w:val="nil"/>
            </w:tcBorders>
            <w:vAlign w:val="center"/>
          </w:tcPr>
          <w:p w14:paraId="52613AFA">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通过对所学知识的回顾，培养学生的归纳总结能力</w:t>
            </w:r>
          </w:p>
        </w:tc>
      </w:tr>
      <w:tr w14:paraId="5ABE6760">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7D24C140">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2min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7610D6A2">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布置课后作业</w:t>
            </w:r>
          </w:p>
          <w:p w14:paraId="3F05302C">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Times New Roman" w:hAnsi="Times New Roman" w:eastAsia="宋体" w:cs="Times New Roman"/>
                <w:b/>
                <w:bCs w:val="0"/>
                <w:kern w:val="2"/>
                <w:sz w:val="21"/>
                <w:szCs w:val="21"/>
                <w:lang w:val="en-US" w:eastAsia="zh-CN" w:bidi="ar-SA"/>
              </w:rPr>
            </w:pPr>
            <w:r>
              <w:rPr>
                <w:rFonts w:hint="eastAsia" w:ascii="宋体" w:hAnsi="宋体" w:cs="宋体"/>
                <w:b/>
                <w:bCs w:val="0"/>
                <w:kern w:val="2"/>
                <w:sz w:val="21"/>
                <w:szCs w:val="21"/>
                <w:lang w:val="en-US" w:eastAsia="zh-CN" w:bidi="ar"/>
              </w:rPr>
              <w:t>简述转运过程中的监测与护理</w:t>
            </w:r>
            <w:r>
              <w:rPr>
                <w:rFonts w:hint="eastAsia" w:ascii="宋体" w:hAnsi="宋体" w:eastAsia="宋体" w:cs="宋体"/>
                <w:b/>
                <w:bCs w:val="0"/>
                <w:kern w:val="2"/>
                <w:sz w:val="21"/>
                <w:szCs w:val="21"/>
                <w:lang w:val="en-US" w:eastAsia="zh-CN" w:bidi="ar"/>
              </w:rPr>
              <w:t>。</w:t>
            </w:r>
          </w:p>
        </w:tc>
        <w:tc>
          <w:tcPr>
            <w:tcW w:w="1366" w:type="dxa"/>
            <w:tcBorders>
              <w:tl2br w:val="nil"/>
              <w:tr2bl w:val="nil"/>
            </w:tcBorders>
            <w:vAlign w:val="center"/>
          </w:tcPr>
          <w:p w14:paraId="4F2F0F04">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通过课后练习，使学生巩固所学新知识</w:t>
            </w:r>
          </w:p>
        </w:tc>
      </w:tr>
      <w:tr w14:paraId="752728E1">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75C516A8">
            <w:pPr>
              <w:keepNext w:val="0"/>
              <w:keepLines w:val="0"/>
              <w:suppressLineNumbers w:val="0"/>
              <w:spacing w:before="0" w:beforeAutospacing="0" w:after="0" w:afterAutospacing="0"/>
              <w:ind w:left="0" w:right="0"/>
              <w:jc w:val="center"/>
              <w:rPr>
                <w:rFonts w:hint="default" w:ascii="微软雅黑" w:hAnsi="微软雅黑" w:eastAsia="微软雅黑"/>
                <w:b/>
                <w:sz w:val="24"/>
                <w:szCs w:val="24"/>
              </w:rPr>
            </w:pPr>
            <w:r>
              <w:rPr>
                <w:rFonts w:hint="eastAsia" w:ascii="微软雅黑" w:hAnsi="微软雅黑" w:eastAsia="微软雅黑"/>
                <w:b/>
                <w:sz w:val="24"/>
                <w:szCs w:val="24"/>
              </w:rPr>
              <w:t>教学反思</w:t>
            </w:r>
          </w:p>
        </w:tc>
        <w:tc>
          <w:tcPr>
            <w:tcW w:w="7173" w:type="dxa"/>
            <w:gridSpan w:val="2"/>
            <w:tcBorders>
              <w:tl2br w:val="nil"/>
              <w:tr2bl w:val="nil"/>
            </w:tcBorders>
            <w:vAlign w:val="center"/>
          </w:tcPr>
          <w:p w14:paraId="5B611BE4">
            <w:pPr>
              <w:keepNext w:val="0"/>
              <w:keepLines w:val="0"/>
              <w:suppressLineNumbers w:val="0"/>
              <w:spacing w:before="0" w:beforeAutospacing="0" w:after="0" w:afterAutospacing="0" w:line="360" w:lineRule="auto"/>
              <w:ind w:left="0" w:right="0"/>
              <w:rPr>
                <w:rFonts w:hint="default" w:ascii="Times New Roman" w:hAnsi="Times New Roman"/>
              </w:rPr>
            </w:pPr>
            <w:r>
              <w:rPr>
                <w:rFonts w:hint="default" w:ascii="Times New Roman" w:hAnsi="Times New Roman"/>
              </w:rPr>
              <w:t>认真地分析小学科学教材的编写体系，懂得了科学课必须了解学生原有的知识技能。</w:t>
            </w:r>
          </w:p>
        </w:tc>
      </w:tr>
      <w:bookmarkEnd w:id="0"/>
    </w:tbl>
    <w:p w14:paraId="06C75776"/>
    <w:sectPr>
      <w:pgSz w:w="11906" w:h="16838"/>
      <w:pgMar w:top="567" w:right="170" w:bottom="850" w:left="170" w:header="567" w:footer="850" w:gutter="0"/>
      <w:pgBorders>
        <w:top w:val="none" w:sz="0" w:space="0"/>
        <w:left w:val="none" w:sz="0" w:space="0"/>
        <w:bottom w:val="none" w:sz="0" w:space="0"/>
        <w:right w:val="none" w:sz="0" w:space="0"/>
      </w:pgBorders>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EFF" w:usb1="C000785B" w:usb2="00000009" w:usb3="00000000" w:csb0="400001FF" w:csb1="FFFF0000"/>
  </w:font>
  <w:font w:name="宋体">
    <w:panose1 w:val="02010600030101010101"/>
    <w:charset w:val="50"/>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embedRegular r:id="rId1" w:fontKey="{5B534B8C-2443-42A3-9E24-165813275D8F}"/>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embedRegular r:id="rId2" w:fontKey="{88A7E655-9DDF-4AF2-9FBC-484E5756BC94}"/>
  </w:font>
  <w:font w:name="微软雅黑">
    <w:panose1 w:val="020B0503020204020204"/>
    <w:charset w:val="86"/>
    <w:family w:val="auto"/>
    <w:pitch w:val="default"/>
    <w:sig w:usb0="80000287" w:usb1="2ACF3C50" w:usb2="00000016" w:usb3="00000000" w:csb0="0004001F" w:csb1="00000000"/>
    <w:embedRegular r:id="rId3" w:fontKey="{75A027AB-F5C8-44AC-B053-1541A836038D}"/>
  </w:font>
  <w:font w:name="方正宋黑_GBK">
    <w:panose1 w:val="03000509000000000000"/>
    <w:charset w:val="86"/>
    <w:family w:val="script"/>
    <w:pitch w:val="default"/>
    <w:sig w:usb0="00000001" w:usb1="080E0000" w:usb2="00000000" w:usb3="00000000" w:csb0="00040000" w:csb1="00000000"/>
  </w:font>
  <w:font w:name="Calibri Light">
    <w:panose1 w:val="020F0302020204030204"/>
    <w:charset w:val="00"/>
    <w:family w:val="swiss"/>
    <w:pitch w:val="default"/>
    <w:sig w:usb0="E4002EFF" w:usb1="C200247B" w:usb2="00000009" w:usb3="00000000" w:csb0="200001FF" w:csb1="00000000"/>
  </w:font>
  <w:font w:name="仿宋_GB2312">
    <w:panose1 w:val="02010609030101010101"/>
    <w:charset w:val="86"/>
    <w:family w:val="modern"/>
    <w:pitch w:val="default"/>
    <w:sig w:usb0="00000001" w:usb1="080E0000" w:usb2="00000000" w:usb3="00000000" w:csb0="00040000" w:csb1="00000000"/>
  </w:font>
  <w:font w:name="PinYinok">
    <w:panose1 w:val="020B0603050302020204"/>
    <w:charset w:val="00"/>
    <w:family w:val="swiss"/>
    <w:pitch w:val="default"/>
    <w:sig w:usb0="00000000" w:usb1="00000000" w:usb2="00000000" w:usb3="00000000" w:csb0="00000000" w:csb1="00000000"/>
  </w:font>
  <w:font w:name="汉仪菱心体简">
    <w:panose1 w:val="02010400000101010101"/>
    <w:charset w:val="86"/>
    <w:family w:val="auto"/>
    <w:pitch w:val="default"/>
    <w:sig w:usb0="00000001" w:usb1="080E0800" w:usb2="00000002" w:usb3="00000000" w:csb0="00040000" w:csb1="00000000"/>
    <w:embedRegular r:id="rId4" w:fontKey="{6A657796-9094-42C8-89E1-E05B37AD553F}"/>
  </w:font>
  <w:font w:name="思源宋体 CN Heavy">
    <w:panose1 w:val="02020900000000000000"/>
    <w:charset w:val="86"/>
    <w:family w:val="auto"/>
    <w:pitch w:val="default"/>
    <w:sig w:usb0="20000083" w:usb1="2ADF3C10" w:usb2="00000016" w:usb3="00000000" w:csb0="60060107" w:csb1="00000000"/>
  </w:font>
  <w:font w:name="微软简老宋">
    <w:panose1 w:val="00000000000000000000"/>
    <w:charset w:val="00"/>
    <w:family w:val="auto"/>
    <w:pitch w:val="default"/>
    <w:sig w:usb0="00000000" w:usb1="00000000" w:usb2="00000000" w:usb3="00000000" w:csb0="00000000" w:csb1="00000000"/>
    <w:embedRegular r:id="rId5" w:fontKey="{79831647-1CF6-47D0-80A7-A888E13E71C7}"/>
  </w:font>
</w:font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9C28E3C">
    <w:pPr>
      <w:pStyle w:val="9"/>
      <w:pBdr>
        <w:bottom w:val="none" w:color="auto" w:sz="0" w:space="1"/>
      </w:pBdr>
      <w:rPr>
        <w:rFonts w:hint="eastAsia" w:eastAsia="宋体"/>
        <w:lang w:eastAsia="zh-CN"/>
      </w:rPr>
    </w:pPr>
    <w:r>
      <mc:AlternateContent>
        <mc:Choice Requires="wps">
          <w:drawing>
            <wp:anchor distT="0" distB="0" distL="114300" distR="114300" simplePos="0" relativeHeight="251663360" behindDoc="0" locked="0" layoutInCell="1" allowOverlap="1">
              <wp:simplePos x="0" y="0"/>
              <wp:positionH relativeFrom="column">
                <wp:posOffset>162560</wp:posOffset>
              </wp:positionH>
              <wp:positionV relativeFrom="paragraph">
                <wp:posOffset>-2540</wp:posOffset>
              </wp:positionV>
              <wp:extent cx="7019925" cy="9953625"/>
              <wp:effectExtent l="6350" t="6350" r="22225" b="22225"/>
              <wp:wrapNone/>
              <wp:docPr id="98" name="矩形 98"/>
              <wp:cNvGraphicFramePr/>
              <a:graphic xmlns:a="http://schemas.openxmlformats.org/drawingml/2006/main">
                <a:graphicData uri="http://schemas.microsoft.com/office/word/2010/wordprocessingShape">
                  <wps:wsp>
                    <wps:cNvSpPr/>
                    <wps:spPr>
                      <a:xfrm>
                        <a:off x="0" y="0"/>
                        <a:ext cx="7019925" cy="9953625"/>
                      </a:xfrm>
                      <a:prstGeom prst="rect">
                        <a:avLst/>
                      </a:prstGeom>
                      <a:solidFill>
                        <a:srgbClr val="FFFFFF">
                          <a:alpha val="73000"/>
                        </a:srgbClr>
                      </a:solidFill>
                      <a:ln>
                        <a:solidFill>
                          <a:srgbClr val="7EC1E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12.8pt;margin-top:-0.2pt;height:783.75pt;width:552.75pt;z-index:251663360;v-text-anchor:middle;mso-width-relative:page;mso-height-relative:page;" fillcolor="#FFFFFF" filled="t" stroked="t" coordsize="21600,21600" o:gfxdata="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">
              <v:fill on="t" opacity="47841f" focussize="0,0"/>
              <v:stroke weight="1pt" color="#7EC1E1 [3204]" miterlimit="8" joinstyle="miter"/>
              <v:imagedata o:title=""/>
              <o:lock v:ext="edit" aspectratio="f"/>
            </v:rect>
          </w:pict>
        </mc:Fallback>
      </mc:AlternateContent>
    </w:r>
    <w:r>
      <w:rPr>
        <w:sz w:val="18"/>
      </w:rPr>
      <mc:AlternateContent>
        <mc:Choice Requires="wps">
          <w:drawing>
            <wp:anchor distT="0" distB="0" distL="114300" distR="114300" simplePos="0" relativeHeight="251660288" behindDoc="0" locked="0" layoutInCell="1" allowOverlap="1">
              <wp:simplePos x="0" y="0"/>
              <wp:positionH relativeFrom="column">
                <wp:posOffset>249555</wp:posOffset>
              </wp:positionH>
              <wp:positionV relativeFrom="paragraph">
                <wp:posOffset>5715</wp:posOffset>
              </wp:positionV>
              <wp:extent cx="6840220" cy="9972040"/>
              <wp:effectExtent l="6350" t="6350" r="11430" b="22860"/>
              <wp:wrapNone/>
              <wp:docPr id="8" name="矩形 8"/>
              <wp:cNvGraphicFramePr/>
              <a:graphic xmlns:a="http://schemas.openxmlformats.org/drawingml/2006/main">
                <a:graphicData uri="http://schemas.microsoft.com/office/word/2010/wordprocessingShape">
                  <wps:wsp>
                    <wps:cNvSpPr/>
                    <wps:spPr>
                      <a:xfrm>
                        <a:off x="293370" y="365760"/>
                        <a:ext cx="6840220" cy="9972040"/>
                      </a:xfrm>
                      <a:prstGeom prst="rect">
                        <a:avLst/>
                      </a:prstGeom>
                      <a:solidFill>
                        <a:schemeClr val="bg1">
                          <a:alpha val="55000"/>
                        </a:schemeClr>
                      </a:solidFill>
                      <a:ln>
                        <a:solidFill>
                          <a:schemeClr val="bg1">
                            <a:lumMod val="95000"/>
                          </a:schemeClr>
                        </a:solidFill>
                        <a:prstDash val="solid"/>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19.65pt;margin-top:0.45pt;height:785.2pt;width:538.6pt;z-index:251660288;v-text-anchor:middle;mso-width-relative:page;mso-height-relative:page;" fillcolor="#FFFFFF [3212]" filled="t" stroked="t" coordsize="21600,21600" o:gfxdata="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">
              <v:fill on="t" opacity="36044f" focussize="0,0"/>
              <v:stroke weight="1pt" color="#F2F2F2 [3052]" miterlimit="8" joinstyle="miter"/>
              <v:imagedata o:title=""/>
              <o:lock v:ext="edit" aspectratio="f"/>
            </v:rect>
          </w:pict>
        </mc:Fallback>
      </mc:AlternateContent>
    </w:r>
    <w:r>
      <w:drawing>
        <wp:anchor distT="0" distB="0" distL="114300" distR="114300" simplePos="0" relativeHeight="251662336" behindDoc="0" locked="0" layoutInCell="1" allowOverlap="1">
          <wp:simplePos x="0" y="0"/>
          <wp:positionH relativeFrom="column">
            <wp:posOffset>-189230</wp:posOffset>
          </wp:positionH>
          <wp:positionV relativeFrom="paragraph">
            <wp:posOffset>-476250</wp:posOffset>
          </wp:positionV>
          <wp:extent cx="7640955" cy="10807700"/>
          <wp:effectExtent l="0" t="0" r="17145" b="12700"/>
          <wp:wrapNone/>
          <wp:docPr id="95" name="图片 95" descr="临床医生背景图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图片 95" descr="临床医生背景图片"/>
                  <pic:cNvPicPr>
                    <a:picLocks noChangeAspect="1"/>
                  </pic:cNvPicPr>
                </pic:nvPicPr>
                <pic:blipFill>
                  <a:blip r:embed="rId1"/>
                  <a:stretch>
                    <a:fillRect/>
                  </a:stretch>
                </pic:blipFill>
                <pic:spPr>
                  <a:xfrm>
                    <a:off x="0" y="0"/>
                    <a:ext cx="7640955" cy="10807700"/>
                  </a:xfrm>
                  <a:prstGeom prst="rect">
                    <a:avLst/>
                  </a:prstGeom>
                </pic:spPr>
              </pic:pic>
            </a:graphicData>
          </a:graphic>
        </wp:anchor>
      </w:drawing>
    </w:r>
    <w:r>
      <w:rPr>
        <w:rFonts w:hint="eastAsia" w:eastAsia="宋体"/>
        <w:lang w:eastAsia="zh-CN"/>
      </w:rPr>
      <w:drawing>
        <wp:anchor distT="0" distB="0" distL="114300" distR="114300" simplePos="0" relativeHeight="251659264" behindDoc="1" locked="0" layoutInCell="1" allowOverlap="1">
          <wp:simplePos x="0" y="0"/>
          <wp:positionH relativeFrom="column">
            <wp:posOffset>-113030</wp:posOffset>
          </wp:positionH>
          <wp:positionV relativeFrom="paragraph">
            <wp:posOffset>-350520</wp:posOffset>
          </wp:positionV>
          <wp:extent cx="7559040" cy="10692130"/>
          <wp:effectExtent l="0" t="0" r="3810" b="13970"/>
          <wp:wrapNone/>
          <wp:docPr id="7" name="图片 7" descr="医学背景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医学背景2"/>
                  <pic:cNvPicPr>
                    <a:picLocks noChangeAspect="1"/>
                  </pic:cNvPicPr>
                </pic:nvPicPr>
                <pic:blipFill>
                  <a:blip r:embed="rId2"/>
                  <a:stretch>
                    <a:fillRect/>
                  </a:stretch>
                </pic:blipFill>
                <pic:spPr>
                  <a:xfrm>
                    <a:off x="0" y="0"/>
                    <a:ext cx="7559040" cy="10692130"/>
                  </a:xfrm>
                  <a:prstGeom prst="rect">
                    <a:avLst/>
                  </a:prstGeom>
                </pic:spPr>
              </pic:pic>
            </a:graphicData>
          </a:graphic>
        </wp:anchor>
      </w:drawing>
    </w:r>
  </w:p>
  <w:p w14:paraId="76D56191">
    <w:pPr>
      <w:pStyle w:val="9"/>
      <w:pBdr>
        <w:bottom w:val="none" w:color="auto" w:sz="0" w:space="1"/>
      </w:pBdr>
      <w:rPr>
        <w:rFonts w:hint="eastAsia" w:eastAsia="宋体"/>
        <w:lang w:eastAsia="zh-CN"/>
      </w:rPr>
    </w:pPr>
    <w:r>
      <w:rPr>
        <w:rFonts w:hint="eastAsia" w:eastAsia="宋体"/>
        <w:lang w:eastAsia="zh-CN"/>
      </w:rPr>
      <w:drawing>
        <wp:inline distT="0" distB="0" distL="114300" distR="114300">
          <wp:extent cx="6614160" cy="9355455"/>
          <wp:effectExtent l="0" t="0" r="15240" b="17145"/>
          <wp:docPr id="6" name="图片 6" descr="医学背景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医学背景2"/>
                  <pic:cNvPicPr>
                    <a:picLocks noChangeAspect="1"/>
                  </pic:cNvPicPr>
                </pic:nvPicPr>
                <pic:blipFill>
                  <a:blip r:embed="rId2"/>
                  <a:stretch>
                    <a:fillRect/>
                  </a:stretch>
                </pic:blipFill>
                <pic:spPr>
                  <a:xfrm>
                    <a:off x="0" y="0"/>
                    <a:ext cx="6614160" cy="9355455"/>
                  </a:xfrm>
                  <a:prstGeom prst="rect">
                    <a:avLst/>
                  </a:prstGeom>
                </pic:spPr>
              </pic:pic>
            </a:graphicData>
          </a:graphic>
        </wp:inline>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1DB6F23">
    <w:pPr>
      <w:pStyle w:val="9"/>
      <w:pBdr>
        <w:bottom w:val="none" w:color="auto" w:sz="0" w:space="1"/>
      </w:pBdr>
      <w:rPr>
        <w:rFonts w:hint="eastAsia" w:eastAsia="宋体"/>
        <w:lang w:eastAsia="zh-CN"/>
      </w:rPr>
    </w:pPr>
    <w:r>
      <w:rPr>
        <w:rFonts w:hint="eastAsia" w:eastAsiaTheme="minorEastAsia"/>
        <w:lang w:eastAsia="zh-CN"/>
      </w:rPr>
      <w:drawing>
        <wp:anchor distT="0" distB="0" distL="114300" distR="114300" simplePos="0" relativeHeight="251661312" behindDoc="1" locked="0" layoutInCell="1" allowOverlap="1">
          <wp:simplePos x="0" y="0"/>
          <wp:positionH relativeFrom="column">
            <wp:posOffset>-224790</wp:posOffset>
          </wp:positionH>
          <wp:positionV relativeFrom="page">
            <wp:posOffset>0</wp:posOffset>
          </wp:positionV>
          <wp:extent cx="7676515" cy="7571105"/>
          <wp:effectExtent l="0" t="0" r="635" b="0"/>
          <wp:wrapNone/>
          <wp:docPr id="3" name="图片 3" descr="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192"/>
                  <pic:cNvPicPr>
                    <a:picLocks noChangeAspect="1"/>
                  </pic:cNvPicPr>
                </pic:nvPicPr>
                <pic:blipFill>
                  <a:blip r:embed="rId1"/>
                  <a:stretch>
                    <a:fillRect/>
                  </a:stretch>
                </pic:blipFill>
                <pic:spPr>
                  <a:xfrm>
                    <a:off x="0" y="0"/>
                    <a:ext cx="7676515" cy="7571105"/>
                  </a:xfrm>
                  <a:prstGeom prst="rect">
                    <a:avLst/>
                  </a:prstGeom>
                </pic:spPr>
              </pic:pic>
            </a:graphicData>
          </a:graphic>
        </wp:anchor>
      </w:drawing>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TrueTypeFonts/>
  <w:saveSubset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N2UwZDJhYjUyNWMyYTM4YmY1YzczYWE4MTIwOWE1NDYifQ=="/>
  </w:docVars>
  <w:rsids>
    <w:rsidRoot w:val="00B604E2"/>
    <w:rsid w:val="0002033F"/>
    <w:rsid w:val="0002167A"/>
    <w:rsid w:val="000224F0"/>
    <w:rsid w:val="000251F5"/>
    <w:rsid w:val="000260A1"/>
    <w:rsid w:val="00030C76"/>
    <w:rsid w:val="00032393"/>
    <w:rsid w:val="00032759"/>
    <w:rsid w:val="00033EA9"/>
    <w:rsid w:val="00034267"/>
    <w:rsid w:val="00041045"/>
    <w:rsid w:val="00041DC8"/>
    <w:rsid w:val="00047DED"/>
    <w:rsid w:val="00085814"/>
    <w:rsid w:val="00086D0B"/>
    <w:rsid w:val="000875D2"/>
    <w:rsid w:val="000907E3"/>
    <w:rsid w:val="000A4274"/>
    <w:rsid w:val="000B19B1"/>
    <w:rsid w:val="000B265C"/>
    <w:rsid w:val="000B4C54"/>
    <w:rsid w:val="000C0DAE"/>
    <w:rsid w:val="000D3CAC"/>
    <w:rsid w:val="000D661D"/>
    <w:rsid w:val="000E5DC5"/>
    <w:rsid w:val="000F38F8"/>
    <w:rsid w:val="000F7E05"/>
    <w:rsid w:val="00100C97"/>
    <w:rsid w:val="00110CD4"/>
    <w:rsid w:val="001227AF"/>
    <w:rsid w:val="00127930"/>
    <w:rsid w:val="00130FB7"/>
    <w:rsid w:val="001327C7"/>
    <w:rsid w:val="00137B09"/>
    <w:rsid w:val="00141495"/>
    <w:rsid w:val="0014511A"/>
    <w:rsid w:val="0015161D"/>
    <w:rsid w:val="00165FC4"/>
    <w:rsid w:val="001706AD"/>
    <w:rsid w:val="00170F4A"/>
    <w:rsid w:val="001769B1"/>
    <w:rsid w:val="00177278"/>
    <w:rsid w:val="00195060"/>
    <w:rsid w:val="001A6E6C"/>
    <w:rsid w:val="001A70B3"/>
    <w:rsid w:val="001B36F7"/>
    <w:rsid w:val="001C4D6A"/>
    <w:rsid w:val="001D051E"/>
    <w:rsid w:val="001D3A8C"/>
    <w:rsid w:val="001E06FA"/>
    <w:rsid w:val="001E2B6C"/>
    <w:rsid w:val="001E4145"/>
    <w:rsid w:val="00202A1C"/>
    <w:rsid w:val="0020518E"/>
    <w:rsid w:val="00231853"/>
    <w:rsid w:val="002329DE"/>
    <w:rsid w:val="00233CF2"/>
    <w:rsid w:val="00235F6C"/>
    <w:rsid w:val="00240B02"/>
    <w:rsid w:val="0024383A"/>
    <w:rsid w:val="00251B66"/>
    <w:rsid w:val="002878FB"/>
    <w:rsid w:val="00287C28"/>
    <w:rsid w:val="00291909"/>
    <w:rsid w:val="00292FEA"/>
    <w:rsid w:val="002A2535"/>
    <w:rsid w:val="002A33A8"/>
    <w:rsid w:val="002A404C"/>
    <w:rsid w:val="002A4158"/>
    <w:rsid w:val="002B38E7"/>
    <w:rsid w:val="002B7185"/>
    <w:rsid w:val="002C1F01"/>
    <w:rsid w:val="002D6662"/>
    <w:rsid w:val="002E184A"/>
    <w:rsid w:val="002E68A4"/>
    <w:rsid w:val="002E7294"/>
    <w:rsid w:val="003126FD"/>
    <w:rsid w:val="00315E59"/>
    <w:rsid w:val="00316415"/>
    <w:rsid w:val="00316DC3"/>
    <w:rsid w:val="00325F15"/>
    <w:rsid w:val="00355D4B"/>
    <w:rsid w:val="003648FD"/>
    <w:rsid w:val="00365839"/>
    <w:rsid w:val="00365BD3"/>
    <w:rsid w:val="0039102B"/>
    <w:rsid w:val="0039306C"/>
    <w:rsid w:val="003937CA"/>
    <w:rsid w:val="003A663D"/>
    <w:rsid w:val="003B0CAE"/>
    <w:rsid w:val="003B2EE1"/>
    <w:rsid w:val="003B4179"/>
    <w:rsid w:val="003B6AA4"/>
    <w:rsid w:val="003C495D"/>
    <w:rsid w:val="003D045E"/>
    <w:rsid w:val="003D32FB"/>
    <w:rsid w:val="003D3443"/>
    <w:rsid w:val="003D4B07"/>
    <w:rsid w:val="003D77B0"/>
    <w:rsid w:val="003F1437"/>
    <w:rsid w:val="003F5B78"/>
    <w:rsid w:val="0040216F"/>
    <w:rsid w:val="00402F26"/>
    <w:rsid w:val="00410165"/>
    <w:rsid w:val="004359A6"/>
    <w:rsid w:val="00444506"/>
    <w:rsid w:val="0045341E"/>
    <w:rsid w:val="00481FC2"/>
    <w:rsid w:val="0049606E"/>
    <w:rsid w:val="004A1EE5"/>
    <w:rsid w:val="004B3CF6"/>
    <w:rsid w:val="004C029E"/>
    <w:rsid w:val="004C512D"/>
    <w:rsid w:val="004C5AA3"/>
    <w:rsid w:val="004C740C"/>
    <w:rsid w:val="004C7A80"/>
    <w:rsid w:val="004D147E"/>
    <w:rsid w:val="004D23FC"/>
    <w:rsid w:val="004D2C8A"/>
    <w:rsid w:val="004E1C39"/>
    <w:rsid w:val="004F67EA"/>
    <w:rsid w:val="00524802"/>
    <w:rsid w:val="00527968"/>
    <w:rsid w:val="00530E72"/>
    <w:rsid w:val="0055010C"/>
    <w:rsid w:val="00572303"/>
    <w:rsid w:val="00591658"/>
    <w:rsid w:val="00594AC9"/>
    <w:rsid w:val="005A04FD"/>
    <w:rsid w:val="005B2198"/>
    <w:rsid w:val="005E14DD"/>
    <w:rsid w:val="005F1D11"/>
    <w:rsid w:val="00601D08"/>
    <w:rsid w:val="00603EDE"/>
    <w:rsid w:val="00610D47"/>
    <w:rsid w:val="00630A0C"/>
    <w:rsid w:val="00633C56"/>
    <w:rsid w:val="0064204D"/>
    <w:rsid w:val="006422CD"/>
    <w:rsid w:val="00642E05"/>
    <w:rsid w:val="0065006B"/>
    <w:rsid w:val="006509C8"/>
    <w:rsid w:val="0065152E"/>
    <w:rsid w:val="00655917"/>
    <w:rsid w:val="006621CF"/>
    <w:rsid w:val="00673469"/>
    <w:rsid w:val="006759C7"/>
    <w:rsid w:val="00675D5A"/>
    <w:rsid w:val="0067670B"/>
    <w:rsid w:val="006840A4"/>
    <w:rsid w:val="0068662B"/>
    <w:rsid w:val="0069310C"/>
    <w:rsid w:val="00693C47"/>
    <w:rsid w:val="00694463"/>
    <w:rsid w:val="006960C8"/>
    <w:rsid w:val="006C4F4C"/>
    <w:rsid w:val="006D0589"/>
    <w:rsid w:val="006E0ED7"/>
    <w:rsid w:val="006E11D0"/>
    <w:rsid w:val="006E1507"/>
    <w:rsid w:val="006E632B"/>
    <w:rsid w:val="006F0174"/>
    <w:rsid w:val="006F5420"/>
    <w:rsid w:val="006F683D"/>
    <w:rsid w:val="006F6EAC"/>
    <w:rsid w:val="00706624"/>
    <w:rsid w:val="00721607"/>
    <w:rsid w:val="00727DA5"/>
    <w:rsid w:val="00732B84"/>
    <w:rsid w:val="00764EAE"/>
    <w:rsid w:val="00774A06"/>
    <w:rsid w:val="007A1149"/>
    <w:rsid w:val="007A45BB"/>
    <w:rsid w:val="007B59A7"/>
    <w:rsid w:val="007D07DC"/>
    <w:rsid w:val="007F52A3"/>
    <w:rsid w:val="00820AB4"/>
    <w:rsid w:val="008373CE"/>
    <w:rsid w:val="0084469D"/>
    <w:rsid w:val="0084547D"/>
    <w:rsid w:val="0086345D"/>
    <w:rsid w:val="00867F7F"/>
    <w:rsid w:val="00881A37"/>
    <w:rsid w:val="00895FF2"/>
    <w:rsid w:val="008A0B8D"/>
    <w:rsid w:val="008A12A5"/>
    <w:rsid w:val="008A17A6"/>
    <w:rsid w:val="008B7BB5"/>
    <w:rsid w:val="008D0DCA"/>
    <w:rsid w:val="008D5353"/>
    <w:rsid w:val="008D7EF6"/>
    <w:rsid w:val="008E003C"/>
    <w:rsid w:val="008E6A68"/>
    <w:rsid w:val="008F27D3"/>
    <w:rsid w:val="008F2E57"/>
    <w:rsid w:val="008F6E17"/>
    <w:rsid w:val="009056B5"/>
    <w:rsid w:val="009129DE"/>
    <w:rsid w:val="00914FD9"/>
    <w:rsid w:val="00916C28"/>
    <w:rsid w:val="00922F12"/>
    <w:rsid w:val="00926265"/>
    <w:rsid w:val="00943102"/>
    <w:rsid w:val="009444B5"/>
    <w:rsid w:val="00944501"/>
    <w:rsid w:val="00983008"/>
    <w:rsid w:val="00996E2D"/>
    <w:rsid w:val="009B07F3"/>
    <w:rsid w:val="009B3A40"/>
    <w:rsid w:val="009C0AE0"/>
    <w:rsid w:val="009C3CC9"/>
    <w:rsid w:val="009C65CB"/>
    <w:rsid w:val="009D1C47"/>
    <w:rsid w:val="009D2B40"/>
    <w:rsid w:val="009E362F"/>
    <w:rsid w:val="009F43F0"/>
    <w:rsid w:val="00A00006"/>
    <w:rsid w:val="00A01CBA"/>
    <w:rsid w:val="00A03BF7"/>
    <w:rsid w:val="00A07398"/>
    <w:rsid w:val="00A1764A"/>
    <w:rsid w:val="00A61ADE"/>
    <w:rsid w:val="00A65E57"/>
    <w:rsid w:val="00A66F98"/>
    <w:rsid w:val="00AB118B"/>
    <w:rsid w:val="00AC0908"/>
    <w:rsid w:val="00AC16F9"/>
    <w:rsid w:val="00AC774E"/>
    <w:rsid w:val="00AD38C8"/>
    <w:rsid w:val="00AE4AF0"/>
    <w:rsid w:val="00AE5721"/>
    <w:rsid w:val="00AE683A"/>
    <w:rsid w:val="00B16242"/>
    <w:rsid w:val="00B21432"/>
    <w:rsid w:val="00B25457"/>
    <w:rsid w:val="00B26D0D"/>
    <w:rsid w:val="00B35660"/>
    <w:rsid w:val="00B3567A"/>
    <w:rsid w:val="00B47365"/>
    <w:rsid w:val="00B537F5"/>
    <w:rsid w:val="00B604E2"/>
    <w:rsid w:val="00B7231E"/>
    <w:rsid w:val="00B745DF"/>
    <w:rsid w:val="00B80469"/>
    <w:rsid w:val="00B8084C"/>
    <w:rsid w:val="00B8585D"/>
    <w:rsid w:val="00BA0DFD"/>
    <w:rsid w:val="00BB0931"/>
    <w:rsid w:val="00BB6C06"/>
    <w:rsid w:val="00BB79B5"/>
    <w:rsid w:val="00BC0CDD"/>
    <w:rsid w:val="00BD44BE"/>
    <w:rsid w:val="00BF4125"/>
    <w:rsid w:val="00BF7295"/>
    <w:rsid w:val="00C020F4"/>
    <w:rsid w:val="00C03EBC"/>
    <w:rsid w:val="00C12DED"/>
    <w:rsid w:val="00C13A18"/>
    <w:rsid w:val="00C15D93"/>
    <w:rsid w:val="00C15FA0"/>
    <w:rsid w:val="00C32B34"/>
    <w:rsid w:val="00C538F6"/>
    <w:rsid w:val="00C539B3"/>
    <w:rsid w:val="00C62DB9"/>
    <w:rsid w:val="00C710BF"/>
    <w:rsid w:val="00C757FF"/>
    <w:rsid w:val="00C8147F"/>
    <w:rsid w:val="00C870A5"/>
    <w:rsid w:val="00C913C9"/>
    <w:rsid w:val="00CA4BEA"/>
    <w:rsid w:val="00CB086C"/>
    <w:rsid w:val="00CB4DC5"/>
    <w:rsid w:val="00CC1ED3"/>
    <w:rsid w:val="00CC69F7"/>
    <w:rsid w:val="00CD06A1"/>
    <w:rsid w:val="00CD5851"/>
    <w:rsid w:val="00D019D7"/>
    <w:rsid w:val="00D046A4"/>
    <w:rsid w:val="00D1142A"/>
    <w:rsid w:val="00D16E39"/>
    <w:rsid w:val="00D327D7"/>
    <w:rsid w:val="00D35939"/>
    <w:rsid w:val="00D363BC"/>
    <w:rsid w:val="00D41F60"/>
    <w:rsid w:val="00D431BF"/>
    <w:rsid w:val="00D45D4F"/>
    <w:rsid w:val="00D5176B"/>
    <w:rsid w:val="00D52C17"/>
    <w:rsid w:val="00D55100"/>
    <w:rsid w:val="00D825C6"/>
    <w:rsid w:val="00D9020D"/>
    <w:rsid w:val="00D9518A"/>
    <w:rsid w:val="00D96E65"/>
    <w:rsid w:val="00DA2BE9"/>
    <w:rsid w:val="00DB13C3"/>
    <w:rsid w:val="00DB2AB8"/>
    <w:rsid w:val="00DB4228"/>
    <w:rsid w:val="00DB7A7E"/>
    <w:rsid w:val="00DC0439"/>
    <w:rsid w:val="00DC2395"/>
    <w:rsid w:val="00DC2957"/>
    <w:rsid w:val="00DD1421"/>
    <w:rsid w:val="00DD4D1B"/>
    <w:rsid w:val="00DF4461"/>
    <w:rsid w:val="00DF515A"/>
    <w:rsid w:val="00E0214F"/>
    <w:rsid w:val="00E04B69"/>
    <w:rsid w:val="00E0715F"/>
    <w:rsid w:val="00E12FD7"/>
    <w:rsid w:val="00E5322C"/>
    <w:rsid w:val="00E5467F"/>
    <w:rsid w:val="00E556B1"/>
    <w:rsid w:val="00E665E3"/>
    <w:rsid w:val="00E722E8"/>
    <w:rsid w:val="00E730DA"/>
    <w:rsid w:val="00E77BE9"/>
    <w:rsid w:val="00E9409A"/>
    <w:rsid w:val="00E97D22"/>
    <w:rsid w:val="00E97D47"/>
    <w:rsid w:val="00EA4265"/>
    <w:rsid w:val="00EB1E36"/>
    <w:rsid w:val="00EB2A72"/>
    <w:rsid w:val="00EB3F46"/>
    <w:rsid w:val="00EC1603"/>
    <w:rsid w:val="00EE0DE5"/>
    <w:rsid w:val="00EE2C61"/>
    <w:rsid w:val="00F04664"/>
    <w:rsid w:val="00F0749C"/>
    <w:rsid w:val="00F124DB"/>
    <w:rsid w:val="00F2449F"/>
    <w:rsid w:val="00F27E17"/>
    <w:rsid w:val="00F3498F"/>
    <w:rsid w:val="00F507D8"/>
    <w:rsid w:val="00F658F4"/>
    <w:rsid w:val="00F72692"/>
    <w:rsid w:val="00F75EB8"/>
    <w:rsid w:val="00F84C5E"/>
    <w:rsid w:val="00F96231"/>
    <w:rsid w:val="00FC1E8A"/>
    <w:rsid w:val="00FD5DA0"/>
    <w:rsid w:val="00FF43FF"/>
    <w:rsid w:val="00FF4BDE"/>
    <w:rsid w:val="027B08F2"/>
    <w:rsid w:val="0A36214C"/>
    <w:rsid w:val="0AC91BFE"/>
    <w:rsid w:val="0E3C75E8"/>
    <w:rsid w:val="1FB84519"/>
    <w:rsid w:val="2003061B"/>
    <w:rsid w:val="20F13C9B"/>
    <w:rsid w:val="238347DF"/>
    <w:rsid w:val="24B477DD"/>
    <w:rsid w:val="278141AB"/>
    <w:rsid w:val="28B578A7"/>
    <w:rsid w:val="322A12C5"/>
    <w:rsid w:val="34AD60CD"/>
    <w:rsid w:val="34B67F89"/>
    <w:rsid w:val="36807682"/>
    <w:rsid w:val="368D542E"/>
    <w:rsid w:val="388B134B"/>
    <w:rsid w:val="436C72A2"/>
    <w:rsid w:val="43CD7F64"/>
    <w:rsid w:val="44B33A23"/>
    <w:rsid w:val="45C91BBA"/>
    <w:rsid w:val="473D70ED"/>
    <w:rsid w:val="49F41BDA"/>
    <w:rsid w:val="49F8701E"/>
    <w:rsid w:val="4C7F0E23"/>
    <w:rsid w:val="582E68E8"/>
    <w:rsid w:val="5A7C6694"/>
    <w:rsid w:val="5B667984"/>
    <w:rsid w:val="5FFC3909"/>
    <w:rsid w:val="600E33E1"/>
    <w:rsid w:val="622A303A"/>
    <w:rsid w:val="70D35CA6"/>
    <w:rsid w:val="723010AC"/>
    <w:rsid w:val="7E1F5A4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semiHidden="0" w:name="heading 3"/>
    <w:lsdException w:qFormat="1" w:unhideWhenUsed="0" w:uiPriority="0" w:semiHidden="0"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0" w:semiHidden="0"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qFormat="1"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Calibri" w:hAnsi="Calibri" w:eastAsia="宋体" w:cs="Times New Roman"/>
      <w:kern w:val="2"/>
      <w:sz w:val="21"/>
      <w:szCs w:val="22"/>
      <w:lang w:val="en-US" w:eastAsia="zh-CN" w:bidi="ar-SA"/>
    </w:rPr>
  </w:style>
  <w:style w:type="paragraph" w:styleId="2">
    <w:name w:val="heading 1"/>
    <w:basedOn w:val="1"/>
    <w:next w:val="1"/>
    <w:qFormat/>
    <w:uiPriority w:val="9"/>
    <w:pPr>
      <w:keepNext/>
      <w:keepLines/>
      <w:spacing w:before="340" w:beforeLines="0" w:beforeAutospacing="0" w:after="330" w:afterLines="0" w:afterAutospacing="0" w:line="576" w:lineRule="auto"/>
      <w:outlineLvl w:val="0"/>
    </w:pPr>
    <w:rPr>
      <w:b/>
      <w:kern w:val="44"/>
      <w:sz w:val="44"/>
    </w:rPr>
  </w:style>
  <w:style w:type="paragraph" w:styleId="3">
    <w:name w:val="heading 3"/>
    <w:basedOn w:val="1"/>
    <w:next w:val="1"/>
    <w:link w:val="30"/>
    <w:unhideWhenUsed/>
    <w:qFormat/>
    <w:uiPriority w:val="9"/>
    <w:pPr>
      <w:keepNext/>
      <w:keepLines/>
      <w:spacing w:before="260" w:after="260" w:line="416" w:lineRule="auto"/>
      <w:outlineLvl w:val="2"/>
    </w:pPr>
    <w:rPr>
      <w:b/>
      <w:bCs/>
      <w:sz w:val="32"/>
      <w:szCs w:val="32"/>
    </w:rPr>
  </w:style>
  <w:style w:type="paragraph" w:styleId="4">
    <w:name w:val="heading 4"/>
    <w:basedOn w:val="1"/>
    <w:next w:val="1"/>
    <w:link w:val="23"/>
    <w:qFormat/>
    <w:uiPriority w:val="0"/>
    <w:pPr>
      <w:keepNext/>
      <w:keepLines/>
      <w:spacing w:before="30" w:beforeLines="30" w:after="30" w:afterLines="30" w:line="264" w:lineRule="auto"/>
      <w:ind w:left="150" w:leftChars="150"/>
      <w:outlineLvl w:val="3"/>
    </w:pPr>
    <w:rPr>
      <w:rFonts w:ascii="Times New Roman" w:hAnsi="Times New Roman" w:eastAsia="方正宋黑_GBK"/>
      <w:color w:val="E4007F"/>
      <w:sz w:val="26"/>
      <w:szCs w:val="20"/>
    </w:rPr>
  </w:style>
  <w:style w:type="paragraph" w:styleId="5">
    <w:name w:val="heading 5"/>
    <w:basedOn w:val="1"/>
    <w:next w:val="1"/>
    <w:link w:val="25"/>
    <w:semiHidden/>
    <w:unhideWhenUsed/>
    <w:qFormat/>
    <w:uiPriority w:val="9"/>
    <w:pPr>
      <w:keepNext/>
      <w:keepLines/>
      <w:spacing w:before="280" w:after="290" w:line="376" w:lineRule="auto"/>
      <w:outlineLvl w:val="4"/>
    </w:pPr>
    <w:rPr>
      <w:b/>
      <w:bCs/>
      <w:sz w:val="28"/>
      <w:szCs w:val="28"/>
    </w:rPr>
  </w:style>
  <w:style w:type="paragraph" w:styleId="6">
    <w:name w:val="heading 6"/>
    <w:basedOn w:val="1"/>
    <w:next w:val="1"/>
    <w:link w:val="26"/>
    <w:semiHidden/>
    <w:unhideWhenUsed/>
    <w:qFormat/>
    <w:uiPriority w:val="9"/>
    <w:pPr>
      <w:keepNext/>
      <w:keepLines/>
      <w:spacing w:before="240" w:after="64" w:line="320" w:lineRule="auto"/>
      <w:outlineLvl w:val="5"/>
    </w:pPr>
    <w:rPr>
      <w:rFonts w:asciiTheme="majorHAnsi" w:hAnsiTheme="majorHAnsi" w:eastAsiaTheme="majorEastAsia" w:cstheme="majorBidi"/>
      <w:b/>
      <w:bCs/>
      <w:sz w:val="24"/>
      <w:szCs w:val="24"/>
    </w:rPr>
  </w:style>
  <w:style w:type="character" w:default="1" w:styleId="12">
    <w:name w:val="Default Paragraph Font"/>
    <w:semiHidden/>
    <w:unhideWhenUsed/>
    <w:qFormat/>
    <w:uiPriority w:val="1"/>
  </w:style>
  <w:style w:type="table" w:default="1" w:styleId="10">
    <w:name w:val="Normal Table"/>
    <w:semiHidden/>
    <w:unhideWhenUsed/>
    <w:qFormat/>
    <w:uiPriority w:val="99"/>
    <w:pPr>
      <w:keepNext w:val="0"/>
      <w:keepLines w:val="0"/>
      <w:widowControl/>
      <w:suppressLineNumbers w:val="0"/>
      <w:spacing w:before="0" w:beforeAutospacing="0" w:after="0" w:afterAutospacing="0"/>
      <w:ind w:left="0" w:right="0"/>
    </w:pPr>
    <w:rPr>
      <w:rFonts w:hint="default" w:ascii="Times New Roman" w:hAnsi="Times New Roman" w:cs="Times New Roman"/>
      <w:sz w:val="20"/>
      <w:szCs w:val="20"/>
    </w:rPr>
    <w:tblPr>
      <w:tblCellMar>
        <w:top w:w="0" w:type="dxa"/>
        <w:left w:w="108" w:type="dxa"/>
        <w:bottom w:w="0" w:type="dxa"/>
        <w:right w:w="108" w:type="dxa"/>
      </w:tblCellMar>
    </w:tblPr>
  </w:style>
  <w:style w:type="paragraph" w:styleId="7">
    <w:name w:val="caption"/>
    <w:basedOn w:val="1"/>
    <w:next w:val="1"/>
    <w:link w:val="28"/>
    <w:unhideWhenUsed/>
    <w:qFormat/>
    <w:uiPriority w:val="0"/>
    <w:rPr>
      <w:rFonts w:eastAsia="黑体" w:asciiTheme="majorHAnsi" w:hAnsiTheme="majorHAnsi" w:cstheme="majorBidi"/>
      <w:sz w:val="20"/>
      <w:szCs w:val="20"/>
    </w:rPr>
  </w:style>
  <w:style w:type="paragraph" w:styleId="8">
    <w:name w:val="footer"/>
    <w:basedOn w:val="1"/>
    <w:link w:val="19"/>
    <w:unhideWhenUsed/>
    <w:qFormat/>
    <w:uiPriority w:val="99"/>
    <w:pPr>
      <w:tabs>
        <w:tab w:val="center" w:pos="4153"/>
        <w:tab w:val="right" w:pos="8306"/>
      </w:tabs>
      <w:snapToGrid w:val="0"/>
      <w:jc w:val="left"/>
    </w:pPr>
    <w:rPr>
      <w:sz w:val="18"/>
      <w:szCs w:val="18"/>
    </w:rPr>
  </w:style>
  <w:style w:type="paragraph" w:styleId="9">
    <w:name w:val="header"/>
    <w:basedOn w:val="1"/>
    <w:link w:val="18"/>
    <w:unhideWhenUsed/>
    <w:qFormat/>
    <w:uiPriority w:val="99"/>
    <w:pPr>
      <w:pBdr>
        <w:bottom w:val="single" w:color="auto" w:sz="6" w:space="1"/>
      </w:pBdr>
      <w:tabs>
        <w:tab w:val="center" w:pos="4153"/>
        <w:tab w:val="right" w:pos="8306"/>
      </w:tabs>
      <w:snapToGrid w:val="0"/>
      <w:jc w:val="center"/>
    </w:pPr>
    <w:rPr>
      <w:sz w:val="18"/>
      <w:szCs w:val="18"/>
    </w:rPr>
  </w:style>
  <w:style w:type="table" w:styleId="11">
    <w:name w:val="Table Grid"/>
    <w:basedOn w:val="10"/>
    <w:qFormat/>
    <w:uiPriority w:val="39"/>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13">
    <w:name w:val="Heading #2|1"/>
    <w:basedOn w:val="1"/>
    <w:qFormat/>
    <w:uiPriority w:val="0"/>
    <w:pPr>
      <w:spacing w:after="640"/>
      <w:jc w:val="center"/>
      <w:outlineLvl w:val="1"/>
    </w:pPr>
    <w:rPr>
      <w:rFonts w:ascii="宋体" w:hAnsi="宋体" w:cs="宋体"/>
      <w:color w:val="EC008D"/>
      <w:sz w:val="30"/>
      <w:szCs w:val="30"/>
      <w:lang w:val="zh-TW" w:eastAsia="zh-TW" w:bidi="zh-TW"/>
    </w:rPr>
  </w:style>
  <w:style w:type="paragraph" w:customStyle="1" w:styleId="14">
    <w:name w:val="Heading #3|1"/>
    <w:basedOn w:val="1"/>
    <w:link w:val="15"/>
    <w:qFormat/>
    <w:uiPriority w:val="0"/>
    <w:pPr>
      <w:spacing w:after="160"/>
      <w:outlineLvl w:val="2"/>
    </w:pPr>
    <w:rPr>
      <w:rFonts w:ascii="宋体" w:hAnsi="宋体" w:cs="宋体"/>
      <w:color w:val="EC008D"/>
      <w:sz w:val="20"/>
      <w:szCs w:val="20"/>
      <w:lang w:val="zh-TW" w:eastAsia="zh-TW" w:bidi="zh-TW"/>
    </w:rPr>
  </w:style>
  <w:style w:type="character" w:customStyle="1" w:styleId="15">
    <w:name w:val="Heading #3|1 Char"/>
    <w:link w:val="14"/>
    <w:qFormat/>
    <w:uiPriority w:val="0"/>
    <w:rPr>
      <w:rFonts w:ascii="宋体" w:hAnsi="宋体" w:eastAsia="宋体" w:cs="宋体"/>
      <w:color w:val="EC008D"/>
      <w:sz w:val="20"/>
      <w:szCs w:val="20"/>
      <w:lang w:val="zh-TW" w:eastAsia="zh-TW" w:bidi="zh-TW"/>
    </w:rPr>
  </w:style>
  <w:style w:type="paragraph" w:customStyle="1" w:styleId="16">
    <w:name w:val="Body text|1"/>
    <w:basedOn w:val="1"/>
    <w:link w:val="17"/>
    <w:unhideWhenUsed/>
    <w:qFormat/>
    <w:uiPriority w:val="0"/>
    <w:pPr>
      <w:spacing w:line="360" w:lineRule="auto"/>
      <w:ind w:firstLine="400"/>
    </w:pPr>
    <w:rPr>
      <w:rFonts w:ascii="宋体" w:hAnsi="宋体" w:cs="宋体"/>
      <w:sz w:val="20"/>
      <w:szCs w:val="20"/>
      <w:lang w:val="zh-TW" w:eastAsia="zh-TW" w:bidi="zh-TW"/>
    </w:rPr>
  </w:style>
  <w:style w:type="character" w:customStyle="1" w:styleId="17">
    <w:name w:val="Body text|1 Char"/>
    <w:link w:val="16"/>
    <w:qFormat/>
    <w:uiPriority w:val="0"/>
    <w:rPr>
      <w:rFonts w:ascii="宋体" w:hAnsi="宋体" w:eastAsia="宋体" w:cs="宋体"/>
      <w:sz w:val="20"/>
      <w:szCs w:val="20"/>
      <w:lang w:val="zh-TW" w:eastAsia="zh-TW" w:bidi="zh-TW"/>
    </w:rPr>
  </w:style>
  <w:style w:type="character" w:customStyle="1" w:styleId="18">
    <w:name w:val="页眉 Char"/>
    <w:basedOn w:val="12"/>
    <w:link w:val="9"/>
    <w:qFormat/>
    <w:uiPriority w:val="99"/>
    <w:rPr>
      <w:rFonts w:ascii="Calibri" w:hAnsi="Calibri" w:eastAsia="宋体" w:cs="Times New Roman"/>
      <w:sz w:val="18"/>
      <w:szCs w:val="18"/>
    </w:rPr>
  </w:style>
  <w:style w:type="character" w:customStyle="1" w:styleId="19">
    <w:name w:val="页脚 Char"/>
    <w:basedOn w:val="12"/>
    <w:link w:val="8"/>
    <w:qFormat/>
    <w:uiPriority w:val="99"/>
    <w:rPr>
      <w:rFonts w:ascii="Calibri" w:hAnsi="Calibri" w:eastAsia="宋体" w:cs="Times New Roman"/>
      <w:sz w:val="18"/>
      <w:szCs w:val="18"/>
    </w:rPr>
  </w:style>
  <w:style w:type="paragraph" w:styleId="20">
    <w:name w:val="List Paragraph"/>
    <w:basedOn w:val="1"/>
    <w:qFormat/>
    <w:uiPriority w:val="34"/>
    <w:pPr>
      <w:ind w:firstLine="420" w:firstLineChars="200"/>
    </w:pPr>
  </w:style>
  <w:style w:type="paragraph" w:customStyle="1" w:styleId="21">
    <w:name w:val="知识拓展内容"/>
    <w:basedOn w:val="1"/>
    <w:link w:val="22"/>
    <w:qFormat/>
    <w:uiPriority w:val="0"/>
    <w:pPr>
      <w:pBdr>
        <w:top w:val="single" w:color="FADCE9" w:sz="4" w:space="3"/>
        <w:left w:val="single" w:color="FADCE9" w:sz="4" w:space="4"/>
        <w:bottom w:val="single" w:color="FADCE9" w:sz="4" w:space="3"/>
        <w:right w:val="single" w:color="FADCE9" w:sz="4" w:space="4"/>
      </w:pBdr>
      <w:shd w:val="clear" w:color="auto" w:fill="FADCE9"/>
      <w:spacing w:line="264" w:lineRule="auto"/>
      <w:ind w:left="50" w:leftChars="50" w:right="50" w:rightChars="50" w:firstLine="200" w:firstLineChars="200"/>
    </w:pPr>
    <w:rPr>
      <w:rFonts w:ascii="Times New Roman" w:hAnsi="Times New Roman" w:eastAsia="仿宋_GB2312"/>
      <w:kern w:val="10"/>
      <w:szCs w:val="21"/>
      <w:lang w:val="zh-CN" w:eastAsia="zh-CN"/>
    </w:rPr>
  </w:style>
  <w:style w:type="character" w:customStyle="1" w:styleId="22">
    <w:name w:val="知识拓展内容 Char"/>
    <w:link w:val="21"/>
    <w:qFormat/>
    <w:uiPriority w:val="0"/>
    <w:rPr>
      <w:rFonts w:ascii="Times New Roman" w:hAnsi="Times New Roman" w:eastAsia="仿宋_GB2312" w:cs="Times New Roman"/>
      <w:kern w:val="10"/>
      <w:szCs w:val="21"/>
      <w:shd w:val="clear" w:color="auto" w:fill="FADCE9"/>
      <w:lang w:val="zh-CN" w:eastAsia="zh-CN"/>
    </w:rPr>
  </w:style>
  <w:style w:type="character" w:customStyle="1" w:styleId="23">
    <w:name w:val="标题 4 Char"/>
    <w:basedOn w:val="12"/>
    <w:link w:val="4"/>
    <w:qFormat/>
    <w:uiPriority w:val="0"/>
    <w:rPr>
      <w:rFonts w:ascii="Times New Roman" w:hAnsi="Times New Roman" w:eastAsia="方正宋黑_GBK" w:cs="Times New Roman"/>
      <w:color w:val="E4007F"/>
      <w:sz w:val="26"/>
      <w:szCs w:val="20"/>
    </w:rPr>
  </w:style>
  <w:style w:type="character" w:customStyle="1" w:styleId="24">
    <w:name w:val="字符样式 拼音字体"/>
    <w:qFormat/>
    <w:uiPriority w:val="0"/>
    <w:rPr>
      <w:rFonts w:ascii="PinYinok" w:hAnsi="PinYinok"/>
      <w:sz w:val="24"/>
      <w:szCs w:val="24"/>
    </w:rPr>
  </w:style>
  <w:style w:type="character" w:customStyle="1" w:styleId="25">
    <w:name w:val="标题 5 Char"/>
    <w:basedOn w:val="12"/>
    <w:link w:val="5"/>
    <w:semiHidden/>
    <w:qFormat/>
    <w:uiPriority w:val="9"/>
    <w:rPr>
      <w:rFonts w:ascii="Calibri" w:hAnsi="Calibri" w:eastAsia="宋体" w:cs="Times New Roman"/>
      <w:b/>
      <w:bCs/>
      <w:sz w:val="28"/>
      <w:szCs w:val="28"/>
    </w:rPr>
  </w:style>
  <w:style w:type="character" w:customStyle="1" w:styleId="26">
    <w:name w:val="标题 6 Char"/>
    <w:basedOn w:val="12"/>
    <w:link w:val="6"/>
    <w:semiHidden/>
    <w:qFormat/>
    <w:uiPriority w:val="9"/>
    <w:rPr>
      <w:rFonts w:asciiTheme="majorHAnsi" w:hAnsiTheme="majorHAnsi" w:eastAsiaTheme="majorEastAsia" w:cstheme="majorBidi"/>
      <w:b/>
      <w:bCs/>
      <w:sz w:val="24"/>
      <w:szCs w:val="24"/>
    </w:rPr>
  </w:style>
  <w:style w:type="paragraph" w:customStyle="1" w:styleId="27">
    <w:name w:val="图片"/>
    <w:basedOn w:val="1"/>
    <w:next w:val="7"/>
    <w:link w:val="29"/>
    <w:qFormat/>
    <w:uiPriority w:val="0"/>
    <w:pPr>
      <w:spacing w:before="120"/>
      <w:jc w:val="center"/>
    </w:pPr>
    <w:rPr>
      <w:rFonts w:ascii="Times New Roman" w:hAnsi="Times New Roman"/>
      <w:szCs w:val="20"/>
    </w:rPr>
  </w:style>
  <w:style w:type="character" w:customStyle="1" w:styleId="28">
    <w:name w:val="题注 Char"/>
    <w:link w:val="7"/>
    <w:qFormat/>
    <w:locked/>
    <w:uiPriority w:val="0"/>
    <w:rPr>
      <w:rFonts w:eastAsia="黑体" w:asciiTheme="majorHAnsi" w:hAnsiTheme="majorHAnsi" w:cstheme="majorBidi"/>
      <w:sz w:val="20"/>
      <w:szCs w:val="20"/>
    </w:rPr>
  </w:style>
  <w:style w:type="character" w:customStyle="1" w:styleId="29">
    <w:name w:val="图片 Char"/>
    <w:link w:val="27"/>
    <w:qFormat/>
    <w:locked/>
    <w:uiPriority w:val="0"/>
    <w:rPr>
      <w:rFonts w:ascii="Times New Roman" w:hAnsi="Times New Roman" w:eastAsia="宋体" w:cs="Times New Roman"/>
      <w:szCs w:val="20"/>
    </w:rPr>
  </w:style>
  <w:style w:type="character" w:customStyle="1" w:styleId="30">
    <w:name w:val="标题 3 Char"/>
    <w:basedOn w:val="12"/>
    <w:link w:val="3"/>
    <w:semiHidden/>
    <w:qFormat/>
    <w:uiPriority w:val="9"/>
    <w:rPr>
      <w:rFonts w:ascii="Calibri" w:hAnsi="Calibri" w:eastAsia="宋体" w:cs="Times New Roman"/>
      <w:b/>
      <w:bCs/>
      <w:sz w:val="32"/>
      <w:szCs w:val="32"/>
    </w:rPr>
  </w:style>
</w:style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7" Type="http://schemas.openxmlformats.org/officeDocument/2006/relationships/customXml" Target="../customXml/item1.xml"/><Relationship Id="rId6" Type="http://schemas.openxmlformats.org/officeDocument/2006/relationships/image" Target="media/image4.png"/><Relationship Id="rId5" Type="http://schemas.openxmlformats.org/officeDocument/2006/relationships/theme" Target="theme/theme1.xml"/><Relationship Id="rId4" Type="http://schemas.openxmlformats.org/officeDocument/2006/relationships/header" Target="header2.xml"/><Relationship Id="rId3" Type="http://schemas.openxmlformats.org/officeDocument/2006/relationships/header" Target="header1.xml"/><Relationship Id="rId2" Type="http://schemas.openxmlformats.org/officeDocument/2006/relationships/settings" Target="settings.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header1.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Pages>17</Pages>
  <Words>10970</Words>
  <Characters>11125</Characters>
  <Lines>1</Lines>
  <Paragraphs>1</Paragraphs>
  <TotalTime>0</TotalTime>
  <ScaleCrop>false</ScaleCrop>
  <LinksUpToDate>false</LinksUpToDate>
  <CharactersWithSpaces>11193</CharactersWithSpaces>
  <Application>WPS Office_12.1.0.21915_F1E327BC-269C-435d-A152-05C5408002CA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2021-06-08T10:03:00Z</dcterms:created>
  <dc:creator>DELL</dc:creator>
  <cp:lastModifiedBy>六月</cp:lastModifiedBy>
  <dcterms:modified xsi:type="dcterms:W3CDTF">2025-07-25T08:16:21Z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2052-12.1.0.21915</vt:lpwstr>
  </property>
  <property fmtid="{D5CDD505-2E9C-101B-9397-08002B2CF9AE}" pid="3" name="ICV">
    <vt:lpwstr>993DF0407C0146A6913BFF8B1DFF75E1_13</vt:lpwstr>
  </property>
  <property fmtid="{D5CDD505-2E9C-101B-9397-08002B2CF9AE}" pid="4" name="KSOTemplateDocerSaveRecord">
    <vt:lpwstr>eyJoZGlkIjoiOTcxZjc4Y2ViNTBlZDVmZTI3YTAxZGE1NWVmM2E2NDEiLCJ1c2VySWQiOiI0MDMzMDA2MzYifQ==</vt:lpwstr>
  </property>
</Properties>
</file>